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tbl>
      <w:tblPr/>
      <w:tblGrid>
        <w:gridCol w:w="1517"/>
        <w:gridCol w:w="5597"/>
        <w:gridCol w:w="1956"/>
      </w:tblGrid>
      <w:tr>
        <w:trPr>
          <w:trHeight w:val="1" w:hRule="atLeast"/>
          <w:jc w:val="left"/>
        </w:trPr>
        <w:tc>
          <w:tcPr>
            <w:tcW w:w="1517" w:type="dxa"/>
            <w:tcBorders>
              <w:top w:val="single" w:color="000000" w:sz="0"/>
              <w:left w:val="single" w:color="000000" w:sz="0"/>
              <w:bottom w:val="single" w:color="000000" w:sz="6"/>
              <w:right w:val="single" w:color="000000" w:sz="4"/>
            </w:tcBorders>
            <w:shd w:color="auto" w:fill="auto" w:val="clear"/>
            <w:tcMar>
              <w:left w:w="108" w:type="dxa"/>
              <w:right w:w="108" w:type="dxa"/>
            </w:tcMar>
            <w:vAlign w:val="top"/>
          </w:tcPr>
          <w:p>
            <w:pPr>
              <w:tabs>
                <w:tab w:val="left" w:pos="6096" w:leader="none"/>
              </w:tabs>
              <w:spacing w:before="0" w:after="0" w:line="240"/>
              <w:ind w:right="0" w:left="0" w:firstLine="0"/>
              <w:jc w:val="left"/>
              <w:rPr>
                <w:rFonts w:ascii="Verdana" w:hAnsi="Verdana" w:cs="Verdana" w:eastAsia="Verdana"/>
                <w:color w:val="auto"/>
                <w:spacing w:val="0"/>
                <w:position w:val="0"/>
                <w:sz w:val="20"/>
                <w:shd w:fill="auto" w:val="clear"/>
              </w:rPr>
            </w:pPr>
            <w:r>
              <w:object w:dxaOrig="1080" w:dyaOrig="1368">
                <v:rect xmlns:o="urn:schemas-microsoft-com:office:office" xmlns:v="urn:schemas-microsoft-com:vml" id="rectole0000000000" style="width:54.000000pt;height:68.4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tabs>
                <w:tab w:val="left" w:pos="6096" w:leader="none"/>
              </w:tabs>
              <w:spacing w:before="0" w:after="0" w:line="240"/>
              <w:ind w:right="0" w:left="0" w:firstLine="0"/>
              <w:jc w:val="left"/>
              <w:rPr>
                <w:color w:val="auto"/>
                <w:spacing w:val="0"/>
                <w:position w:val="0"/>
                <w:shd w:fill="auto" w:val="clear"/>
              </w:rPr>
            </w:pPr>
          </w:p>
        </w:tc>
        <w:tc>
          <w:tcPr>
            <w:tcW w:w="5597" w:type="dxa"/>
            <w:tcBorders>
              <w:top w:val="single" w:color="000000" w:sz="0"/>
              <w:left w:val="single" w:color="000000" w:sz="4"/>
              <w:bottom w:val="single" w:color="000000" w:sz="6"/>
              <w:right w:val="single" w:color="000000" w:sz="0"/>
            </w:tcBorders>
            <w:shd w:color="auto" w:fill="auto" w:val="clear"/>
            <w:tcMar>
              <w:left w:w="108" w:type="dxa"/>
              <w:right w:w="108" w:type="dxa"/>
            </w:tcMar>
            <w:vAlign w:val="top"/>
          </w:tcPr>
          <w:p>
            <w:pPr>
              <w:tabs>
                <w:tab w:val="left" w:pos="6096" w:leader="none"/>
              </w:tabs>
              <w:spacing w:before="0" w:after="0" w:line="240"/>
              <w:ind w:right="0" w:left="0" w:firstLine="0"/>
              <w:jc w:val="left"/>
              <w:rPr>
                <w:rFonts w:ascii="Verdana" w:hAnsi="Verdana" w:cs="Verdana" w:eastAsia="Verdana"/>
                <w:b/>
                <w:color w:val="auto"/>
                <w:spacing w:val="0"/>
                <w:position w:val="0"/>
                <w:sz w:val="20"/>
                <w:shd w:fill="auto" w:val="clear"/>
              </w:rPr>
            </w:pPr>
          </w:p>
          <w:p>
            <w:pPr>
              <w:tabs>
                <w:tab w:val="left" w:pos="6096" w:leader="none"/>
              </w:tabs>
              <w:spacing w:before="0" w:after="0" w:line="240"/>
              <w:ind w:right="0" w:left="0" w:firstLine="0"/>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РЕПУБЛИКА БЪЛГАРИЯ</w:t>
            </w:r>
          </w:p>
          <w:p>
            <w:pPr>
              <w:tabs>
                <w:tab w:val="left" w:pos="6096" w:leader="none"/>
              </w:tabs>
              <w:spacing w:before="0" w:after="0" w:line="240"/>
              <w:ind w:right="0" w:left="0" w:firstLine="0"/>
              <w:jc w:val="left"/>
              <w:rPr>
                <w:rFonts w:ascii="Verdana" w:hAnsi="Verdana" w:cs="Verdana" w:eastAsia="Verdana"/>
                <w:b/>
                <w:color w:val="auto"/>
                <w:spacing w:val="0"/>
                <w:position w:val="0"/>
                <w:sz w:val="20"/>
                <w:shd w:fill="auto" w:val="clear"/>
              </w:rPr>
            </w:pPr>
          </w:p>
          <w:p>
            <w:pPr>
              <w:tabs>
                <w:tab w:val="left" w:pos="6096" w:leader="none"/>
              </w:tabs>
              <w:spacing w:before="0" w:after="0" w:line="240"/>
              <w:ind w:right="0" w:left="0" w:firstLine="0"/>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Агенция за социално подпомагане</w:t>
            </w:r>
          </w:p>
          <w:p>
            <w:pPr>
              <w:tabs>
                <w:tab w:val="left" w:pos="6096" w:leader="none"/>
              </w:tabs>
              <w:spacing w:before="0" w:after="0" w:line="240"/>
              <w:ind w:right="0" w:left="0" w:firstLine="0"/>
              <w:jc w:val="left"/>
              <w:rPr>
                <w:color w:val="auto"/>
                <w:spacing w:val="0"/>
                <w:position w:val="0"/>
                <w:shd w:fill="auto" w:val="clear"/>
              </w:rPr>
            </w:pPr>
          </w:p>
        </w:tc>
        <w:tc>
          <w:tcPr>
            <w:tcW w:w="1956" w:type="dxa"/>
            <w:tcBorders>
              <w:top w:val="single" w:color="000000" w:sz="0"/>
              <w:left w:val="single" w:color="000000" w:sz="0"/>
              <w:bottom w:val="single" w:color="000000" w:sz="6"/>
              <w:right w:val="single" w:color="000000" w:sz="0"/>
            </w:tcBorders>
            <w:shd w:color="auto" w:fill="auto" w:val="clear"/>
            <w:tcMar>
              <w:left w:w="108" w:type="dxa"/>
              <w:right w:w="108" w:type="dxa"/>
            </w:tcMar>
            <w:vAlign w:val="top"/>
          </w:tcPr>
          <w:p>
            <w:pPr>
              <w:tabs>
                <w:tab w:val="left" w:pos="6096" w:leader="none"/>
              </w:tabs>
              <w:spacing w:before="0" w:after="0" w:line="240"/>
              <w:ind w:right="0" w:left="0" w:firstLine="0"/>
              <w:jc w:val="left"/>
              <w:rPr>
                <w:rFonts w:ascii="Calibri" w:hAnsi="Calibri" w:cs="Calibri" w:eastAsia="Calibri"/>
                <w:color w:val="auto"/>
                <w:spacing w:val="0"/>
                <w:position w:val="0"/>
                <w:sz w:val="22"/>
                <w:shd w:fill="auto" w:val="clear"/>
              </w:rPr>
            </w:pPr>
            <w:r>
              <w:object w:dxaOrig="1656" w:dyaOrig="1483">
                <v:rect xmlns:o="urn:schemas-microsoft-com:office:office" xmlns:v="urn:schemas-microsoft-com:vml" id="rectole0000000001" style="width:82.800000pt;height:74.1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tc>
      </w:tr>
    </w:tbl>
    <w:p>
      <w:pPr>
        <w:tabs>
          <w:tab w:val="left" w:pos="6096" w:leader="none"/>
        </w:tabs>
        <w:spacing w:before="0" w:after="0" w:line="240"/>
        <w:ind w:right="0" w:left="0" w:firstLine="0"/>
        <w:jc w:val="left"/>
        <w:rPr>
          <w:rFonts w:ascii="Verdana" w:hAnsi="Verdana" w:cs="Verdana" w:eastAsia="Verdana"/>
          <w:color w:val="auto"/>
          <w:spacing w:val="0"/>
          <w:position w:val="0"/>
          <w:sz w:val="20"/>
          <w:shd w:fill="auto" w:val="clear"/>
        </w:rPr>
      </w:pPr>
    </w:p>
    <w:p>
      <w:pPr>
        <w:spacing w:before="0" w:after="160" w:line="240"/>
        <w:ind w:right="0" w:left="0" w:firstLine="0"/>
        <w:jc w:val="both"/>
        <w:rPr>
          <w:rFonts w:ascii="Times New Roman" w:hAnsi="Times New Roman" w:cs="Times New Roman" w:eastAsia="Times New Roman"/>
          <w:color w:val="5A5A5A"/>
          <w:spacing w:val="15"/>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АНАЛИЗ НА ПОТРЕБНОСТИТЕ НА НАЦИОНАЛНО НИВО </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ОТ СОЦИАЛНИ УСЛУГИ И ИНТЕГРИРАНИ ЗДРАВНО-СОЦИАЛНИ УСЛУГИ НА ОБЩИНСКО И ОБЛАСТНО НИВО, КОИТО СЕ ФИНАНСИРАТ ИЗЦЯЛО ИЛИ ЧАСТИЧНО ОТ ДЪРЖАВНИЯ БЮДЖЕТ</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object w:dxaOrig="6274" w:dyaOrig="4993">
          <v:rect xmlns:o="urn:schemas-microsoft-com:office:office" xmlns:v="urn:schemas-microsoft-com:vml" id="rectole0000000002" style="width:313.700000pt;height:249.6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60" w:firstLine="0"/>
        <w:jc w:val="center"/>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2023 </w:t>
      </w:r>
      <w:r>
        <w:rPr>
          <w:rFonts w:ascii="Times New Roman" w:hAnsi="Times New Roman" w:cs="Times New Roman" w:eastAsia="Times New Roman"/>
          <w:b/>
          <w:i/>
          <w:color w:val="auto"/>
          <w:spacing w:val="0"/>
          <w:position w:val="0"/>
          <w:sz w:val="24"/>
          <w:shd w:fill="auto" w:val="clear"/>
        </w:rPr>
        <w:t xml:space="preserve">година</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0" w:after="0" w:line="240"/>
        <w:ind w:right="0" w:left="0" w:firstLine="0"/>
        <w:jc w:val="both"/>
        <w:rPr>
          <w:rFonts w:ascii="Times New Roman" w:hAnsi="Times New Roman" w:cs="Times New Roman" w:eastAsia="Times New Roman"/>
          <w:b/>
          <w:color w:val="002060"/>
          <w:spacing w:val="0"/>
          <w:position w:val="0"/>
          <w:sz w:val="24"/>
          <w:shd w:fill="auto" w:val="clear"/>
        </w:rPr>
      </w:pPr>
      <w:r>
        <w:rPr>
          <w:rFonts w:ascii="Times New Roman" w:hAnsi="Times New Roman" w:cs="Times New Roman" w:eastAsia="Times New Roman"/>
          <w:b/>
          <w:color w:val="002060"/>
          <w:spacing w:val="0"/>
          <w:position w:val="0"/>
          <w:sz w:val="24"/>
          <w:shd w:fill="auto" w:val="clear"/>
        </w:rPr>
        <w:t xml:space="preserve">Съдържание</w:t>
      </w:r>
    </w:p>
    <w:p>
      <w:pPr>
        <w:tabs>
          <w:tab w:val="right" w:pos="9060" w:leader="dot"/>
        </w:tabs>
        <w:spacing w:before="0" w:after="60" w:line="240"/>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Увод</w:t>
      </w:r>
      <w:r>
        <w:rPr>
          <w:rFonts w:ascii="Times New Roman" w:hAnsi="Times New Roman" w:cs="Times New Roman" w:eastAsia="Times New Roman"/>
          <w:color w:val="auto"/>
          <w:spacing w:val="0"/>
          <w:position w:val="0"/>
          <w:sz w:val="24"/>
          <w:shd w:fill="auto" w:val="clear"/>
        </w:rPr>
        <w:tab/>
        <w:t xml:space="preserve">13</w:t>
      </w:r>
    </w:p>
    <w:p>
      <w:pPr>
        <w:tabs>
          <w:tab w:val="left" w:pos="480" w:leader="none"/>
          <w:tab w:val="right" w:pos="9060" w:leader="dot"/>
        </w:tabs>
        <w:spacing w:before="0" w:after="60" w:line="240"/>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1</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Методология</w:t>
      </w:r>
      <w:r>
        <w:rPr>
          <w:rFonts w:ascii="Times New Roman" w:hAnsi="Times New Roman" w:cs="Times New Roman" w:eastAsia="Times New Roman"/>
          <w:color w:val="auto"/>
          <w:spacing w:val="0"/>
          <w:position w:val="0"/>
          <w:sz w:val="24"/>
          <w:shd w:fill="auto" w:val="clear"/>
        </w:rPr>
        <w:tab/>
        <w:t xml:space="preserve">14</w:t>
      </w:r>
    </w:p>
    <w:p>
      <w:pPr>
        <w:tabs>
          <w:tab w:val="left" w:pos="88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1.1</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Цел</w:t>
      </w:r>
      <w:r>
        <w:rPr>
          <w:rFonts w:ascii="Times New Roman" w:hAnsi="Times New Roman" w:cs="Times New Roman" w:eastAsia="Times New Roman"/>
          <w:color w:val="auto"/>
          <w:spacing w:val="0"/>
          <w:position w:val="0"/>
          <w:sz w:val="24"/>
          <w:shd w:fill="auto" w:val="clear"/>
        </w:rPr>
        <w:tab/>
        <w:t xml:space="preserve">14</w:t>
      </w:r>
    </w:p>
    <w:p>
      <w:pPr>
        <w:tabs>
          <w:tab w:val="left" w:pos="88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1.2</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Обхват</w:t>
      </w:r>
      <w:r>
        <w:rPr>
          <w:rFonts w:ascii="Times New Roman" w:hAnsi="Times New Roman" w:cs="Times New Roman" w:eastAsia="Times New Roman"/>
          <w:color w:val="auto"/>
          <w:spacing w:val="0"/>
          <w:position w:val="0"/>
          <w:sz w:val="24"/>
          <w:shd w:fill="auto" w:val="clear"/>
        </w:rPr>
        <w:tab/>
        <w:t xml:space="preserve">14</w:t>
      </w:r>
    </w:p>
    <w:p>
      <w:pPr>
        <w:tabs>
          <w:tab w:val="left" w:pos="88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1.3</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Заинтересовани страни</w:t>
      </w:r>
      <w:r>
        <w:rPr>
          <w:rFonts w:ascii="Times New Roman" w:hAnsi="Times New Roman" w:cs="Times New Roman" w:eastAsia="Times New Roman"/>
          <w:color w:val="auto"/>
          <w:spacing w:val="0"/>
          <w:position w:val="0"/>
          <w:sz w:val="24"/>
          <w:shd w:fill="auto" w:val="clear"/>
        </w:rPr>
        <w:tab/>
        <w:t xml:space="preserve">14</w:t>
      </w:r>
    </w:p>
    <w:p>
      <w:pPr>
        <w:tabs>
          <w:tab w:val="left" w:pos="88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1.4</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Дейности</w:t>
      </w:r>
      <w:r>
        <w:rPr>
          <w:rFonts w:ascii="Times New Roman" w:hAnsi="Times New Roman" w:cs="Times New Roman" w:eastAsia="Times New Roman"/>
          <w:color w:val="auto"/>
          <w:spacing w:val="0"/>
          <w:position w:val="0"/>
          <w:sz w:val="24"/>
          <w:shd w:fill="auto" w:val="clear"/>
        </w:rPr>
        <w:tab/>
        <w:t xml:space="preserve">15</w:t>
      </w:r>
    </w:p>
    <w:p>
      <w:pPr>
        <w:tabs>
          <w:tab w:val="left" w:pos="88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1.5</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Времеви график</w:t>
      </w:r>
      <w:r>
        <w:rPr>
          <w:rFonts w:ascii="Times New Roman" w:hAnsi="Times New Roman" w:cs="Times New Roman" w:eastAsia="Times New Roman"/>
          <w:color w:val="auto"/>
          <w:spacing w:val="0"/>
          <w:position w:val="0"/>
          <w:sz w:val="24"/>
          <w:shd w:fill="auto" w:val="clear"/>
        </w:rPr>
        <w:tab/>
        <w:t xml:space="preserve">17</w:t>
      </w:r>
    </w:p>
    <w:p>
      <w:pPr>
        <w:tabs>
          <w:tab w:val="left" w:pos="88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1.6</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Събиране и обработка на информацията от 265-те общини</w:t>
      </w:r>
      <w:r>
        <w:rPr>
          <w:rFonts w:ascii="Times New Roman" w:hAnsi="Times New Roman" w:cs="Times New Roman" w:eastAsia="Times New Roman"/>
          <w:color w:val="auto"/>
          <w:spacing w:val="0"/>
          <w:position w:val="0"/>
          <w:sz w:val="24"/>
          <w:shd w:fill="auto" w:val="clear"/>
        </w:rPr>
        <w:tab/>
        <w:t xml:space="preserve">20</w:t>
      </w:r>
    </w:p>
    <w:p>
      <w:pPr>
        <w:tabs>
          <w:tab w:val="left" w:pos="480" w:leader="none"/>
          <w:tab w:val="right" w:pos="9060" w:leader="dot"/>
        </w:tabs>
        <w:spacing w:before="0" w:after="60" w:line="240"/>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2</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СЕВЕРОЗАПАДЕН РЕГИОН</w:t>
      </w:r>
      <w:r>
        <w:rPr>
          <w:rFonts w:ascii="Times New Roman" w:hAnsi="Times New Roman" w:cs="Times New Roman" w:eastAsia="Times New Roman"/>
          <w:color w:val="auto"/>
          <w:spacing w:val="0"/>
          <w:position w:val="0"/>
          <w:sz w:val="24"/>
          <w:shd w:fill="auto" w:val="clear"/>
        </w:rPr>
        <w:tab/>
        <w:t xml:space="preserve">24</w:t>
      </w:r>
    </w:p>
    <w:p>
      <w:pPr>
        <w:tabs>
          <w:tab w:val="left" w:pos="88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2.1</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ОБЛАСТ ВИДИН</w:t>
      </w:r>
      <w:r>
        <w:rPr>
          <w:rFonts w:ascii="Times New Roman" w:hAnsi="Times New Roman" w:cs="Times New Roman" w:eastAsia="Times New Roman"/>
          <w:color w:val="auto"/>
          <w:spacing w:val="0"/>
          <w:position w:val="0"/>
          <w:sz w:val="24"/>
          <w:shd w:fill="auto" w:val="clear"/>
        </w:rPr>
        <w:tab/>
        <w:t xml:space="preserve">24</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2.1.1</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БЕЛОГРАДЧИК</w:t>
      </w:r>
      <w:r>
        <w:rPr>
          <w:rFonts w:ascii="Times New Roman" w:hAnsi="Times New Roman" w:cs="Times New Roman" w:eastAsia="Times New Roman"/>
          <w:color w:val="auto"/>
          <w:spacing w:val="0"/>
          <w:position w:val="0"/>
          <w:sz w:val="24"/>
          <w:shd w:fill="auto" w:val="clear"/>
        </w:rPr>
        <w:tab/>
        <w:t xml:space="preserve">24</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2.1.2</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БОЙНИЦА</w:t>
      </w:r>
      <w:r>
        <w:rPr>
          <w:rFonts w:ascii="Times New Roman" w:hAnsi="Times New Roman" w:cs="Times New Roman" w:eastAsia="Times New Roman"/>
          <w:color w:val="auto"/>
          <w:spacing w:val="0"/>
          <w:position w:val="0"/>
          <w:sz w:val="24"/>
          <w:shd w:fill="auto" w:val="clear"/>
        </w:rPr>
        <w:tab/>
        <w:t xml:space="preserve">26</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2.1.3</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БРЕГОВО</w:t>
      </w:r>
      <w:r>
        <w:rPr>
          <w:rFonts w:ascii="Times New Roman" w:hAnsi="Times New Roman" w:cs="Times New Roman" w:eastAsia="Times New Roman"/>
          <w:color w:val="auto"/>
          <w:spacing w:val="0"/>
          <w:position w:val="0"/>
          <w:sz w:val="24"/>
          <w:shd w:fill="auto" w:val="clear"/>
        </w:rPr>
        <w:tab/>
        <w:t xml:space="preserve">28</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2.1.4</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ВИДИН</w:t>
      </w:r>
      <w:r>
        <w:rPr>
          <w:rFonts w:ascii="Times New Roman" w:hAnsi="Times New Roman" w:cs="Times New Roman" w:eastAsia="Times New Roman"/>
          <w:color w:val="auto"/>
          <w:spacing w:val="0"/>
          <w:position w:val="0"/>
          <w:sz w:val="24"/>
          <w:shd w:fill="auto" w:val="clear"/>
        </w:rPr>
        <w:tab/>
        <w:t xml:space="preserve">30</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2.1.5</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ГРАМАДА</w:t>
      </w:r>
      <w:r>
        <w:rPr>
          <w:rFonts w:ascii="Times New Roman" w:hAnsi="Times New Roman" w:cs="Times New Roman" w:eastAsia="Times New Roman"/>
          <w:color w:val="auto"/>
          <w:spacing w:val="0"/>
          <w:position w:val="0"/>
          <w:sz w:val="24"/>
          <w:shd w:fill="auto" w:val="clear"/>
        </w:rPr>
        <w:tab/>
        <w:t xml:space="preserve">33</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2.1.6</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ДИМОВО</w:t>
      </w:r>
      <w:r>
        <w:rPr>
          <w:rFonts w:ascii="Times New Roman" w:hAnsi="Times New Roman" w:cs="Times New Roman" w:eastAsia="Times New Roman"/>
          <w:color w:val="auto"/>
          <w:spacing w:val="0"/>
          <w:position w:val="0"/>
          <w:sz w:val="24"/>
          <w:shd w:fill="auto" w:val="clear"/>
        </w:rPr>
        <w:tab/>
        <w:t xml:space="preserve">35</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2.1.7</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КУЛА</w:t>
      </w:r>
      <w:r>
        <w:rPr>
          <w:rFonts w:ascii="Times New Roman" w:hAnsi="Times New Roman" w:cs="Times New Roman" w:eastAsia="Times New Roman"/>
          <w:color w:val="auto"/>
          <w:spacing w:val="0"/>
          <w:position w:val="0"/>
          <w:sz w:val="24"/>
          <w:shd w:fill="auto" w:val="clear"/>
        </w:rPr>
        <w:tab/>
        <w:t xml:space="preserve">37</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2.1.8</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МАКРЕШ</w:t>
      </w:r>
      <w:r>
        <w:rPr>
          <w:rFonts w:ascii="Times New Roman" w:hAnsi="Times New Roman" w:cs="Times New Roman" w:eastAsia="Times New Roman"/>
          <w:color w:val="auto"/>
          <w:spacing w:val="0"/>
          <w:position w:val="0"/>
          <w:sz w:val="24"/>
          <w:shd w:fill="auto" w:val="clear"/>
        </w:rPr>
        <w:tab/>
        <w:t xml:space="preserve">39</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2.1.9</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НОВО СЕЛО</w:t>
      </w:r>
      <w:r>
        <w:rPr>
          <w:rFonts w:ascii="Times New Roman" w:hAnsi="Times New Roman" w:cs="Times New Roman" w:eastAsia="Times New Roman"/>
          <w:color w:val="auto"/>
          <w:spacing w:val="0"/>
          <w:position w:val="0"/>
          <w:sz w:val="24"/>
          <w:shd w:fill="auto" w:val="clear"/>
        </w:rPr>
        <w:tab/>
        <w:t xml:space="preserve">41</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2.1.10</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РУЖИНЦИ</w:t>
      </w:r>
      <w:r>
        <w:rPr>
          <w:rFonts w:ascii="Times New Roman" w:hAnsi="Times New Roman" w:cs="Times New Roman" w:eastAsia="Times New Roman"/>
          <w:color w:val="auto"/>
          <w:spacing w:val="0"/>
          <w:position w:val="0"/>
          <w:sz w:val="24"/>
          <w:shd w:fill="auto" w:val="clear"/>
        </w:rPr>
        <w:tab/>
        <w:t xml:space="preserve">43</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2.1.11</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ЧУПРЕНЕ</w:t>
      </w:r>
      <w:r>
        <w:rPr>
          <w:rFonts w:ascii="Times New Roman" w:hAnsi="Times New Roman" w:cs="Times New Roman" w:eastAsia="Times New Roman"/>
          <w:color w:val="auto"/>
          <w:spacing w:val="0"/>
          <w:position w:val="0"/>
          <w:sz w:val="24"/>
          <w:shd w:fill="auto" w:val="clear"/>
        </w:rPr>
        <w:tab/>
        <w:t xml:space="preserve">44</w:t>
      </w:r>
    </w:p>
    <w:p>
      <w:pPr>
        <w:tabs>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АНАЛИЗ НА ПОТРЕБНОСТИТЕ В ОБЛАСТ ВИДИН (обобщено)</w:t>
      </w:r>
      <w:r>
        <w:rPr>
          <w:rFonts w:ascii="Times New Roman" w:hAnsi="Times New Roman" w:cs="Times New Roman" w:eastAsia="Times New Roman"/>
          <w:color w:val="auto"/>
          <w:spacing w:val="0"/>
          <w:position w:val="0"/>
          <w:sz w:val="24"/>
          <w:shd w:fill="auto" w:val="clear"/>
        </w:rPr>
        <w:tab/>
        <w:t xml:space="preserve">46</w:t>
      </w:r>
    </w:p>
    <w:p>
      <w:pPr>
        <w:tabs>
          <w:tab w:val="left" w:pos="88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2.2</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ОБЛАСТ ВРАЦА</w:t>
      </w:r>
      <w:r>
        <w:rPr>
          <w:rFonts w:ascii="Times New Roman" w:hAnsi="Times New Roman" w:cs="Times New Roman" w:eastAsia="Times New Roman"/>
          <w:color w:val="auto"/>
          <w:spacing w:val="0"/>
          <w:position w:val="0"/>
          <w:sz w:val="24"/>
          <w:shd w:fill="auto" w:val="clear"/>
        </w:rPr>
        <w:tab/>
        <w:t xml:space="preserve">52</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2.2.1</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БОРОВАН</w:t>
      </w:r>
      <w:r>
        <w:rPr>
          <w:rFonts w:ascii="Times New Roman" w:hAnsi="Times New Roman" w:cs="Times New Roman" w:eastAsia="Times New Roman"/>
          <w:color w:val="auto"/>
          <w:spacing w:val="0"/>
          <w:position w:val="0"/>
          <w:sz w:val="24"/>
          <w:shd w:fill="auto" w:val="clear"/>
        </w:rPr>
        <w:tab/>
        <w:t xml:space="preserve">52</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2.2.2</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БЯЛА СЛАТИНА</w:t>
      </w:r>
      <w:r>
        <w:rPr>
          <w:rFonts w:ascii="Times New Roman" w:hAnsi="Times New Roman" w:cs="Times New Roman" w:eastAsia="Times New Roman"/>
          <w:color w:val="auto"/>
          <w:spacing w:val="0"/>
          <w:position w:val="0"/>
          <w:sz w:val="24"/>
          <w:shd w:fill="auto" w:val="clear"/>
        </w:rPr>
        <w:tab/>
        <w:t xml:space="preserve">54</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2.2.3</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ВРАЦА</w:t>
      </w:r>
      <w:r>
        <w:rPr>
          <w:rFonts w:ascii="Times New Roman" w:hAnsi="Times New Roman" w:cs="Times New Roman" w:eastAsia="Times New Roman"/>
          <w:color w:val="auto"/>
          <w:spacing w:val="0"/>
          <w:position w:val="0"/>
          <w:sz w:val="24"/>
          <w:shd w:fill="auto" w:val="clear"/>
        </w:rPr>
        <w:tab/>
        <w:t xml:space="preserve">56</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2.2.4</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КОЗЛОДУЙ</w:t>
      </w:r>
      <w:r>
        <w:rPr>
          <w:rFonts w:ascii="Times New Roman" w:hAnsi="Times New Roman" w:cs="Times New Roman" w:eastAsia="Times New Roman"/>
          <w:color w:val="auto"/>
          <w:spacing w:val="0"/>
          <w:position w:val="0"/>
          <w:sz w:val="24"/>
          <w:shd w:fill="auto" w:val="clear"/>
        </w:rPr>
        <w:tab/>
        <w:t xml:space="preserve">59</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2.2.5</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КРИВОДОЛ</w:t>
      </w:r>
      <w:r>
        <w:rPr>
          <w:rFonts w:ascii="Times New Roman" w:hAnsi="Times New Roman" w:cs="Times New Roman" w:eastAsia="Times New Roman"/>
          <w:color w:val="auto"/>
          <w:spacing w:val="0"/>
          <w:position w:val="0"/>
          <w:sz w:val="24"/>
          <w:shd w:fill="auto" w:val="clear"/>
        </w:rPr>
        <w:tab/>
        <w:t xml:space="preserve">61</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2.2.6</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МЕЗДРА</w:t>
      </w:r>
      <w:r>
        <w:rPr>
          <w:rFonts w:ascii="Times New Roman" w:hAnsi="Times New Roman" w:cs="Times New Roman" w:eastAsia="Times New Roman"/>
          <w:color w:val="auto"/>
          <w:spacing w:val="0"/>
          <w:position w:val="0"/>
          <w:sz w:val="24"/>
          <w:shd w:fill="auto" w:val="clear"/>
        </w:rPr>
        <w:tab/>
        <w:t xml:space="preserve">63</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2.2.7</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МИЗИЯ</w:t>
      </w:r>
      <w:r>
        <w:rPr>
          <w:rFonts w:ascii="Times New Roman" w:hAnsi="Times New Roman" w:cs="Times New Roman" w:eastAsia="Times New Roman"/>
          <w:color w:val="auto"/>
          <w:spacing w:val="0"/>
          <w:position w:val="0"/>
          <w:sz w:val="24"/>
          <w:shd w:fill="auto" w:val="clear"/>
        </w:rPr>
        <w:tab/>
        <w:t xml:space="preserve">65</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2.2.8</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ОРЯХОВО</w:t>
      </w:r>
      <w:r>
        <w:rPr>
          <w:rFonts w:ascii="Times New Roman" w:hAnsi="Times New Roman" w:cs="Times New Roman" w:eastAsia="Times New Roman"/>
          <w:color w:val="auto"/>
          <w:spacing w:val="0"/>
          <w:position w:val="0"/>
          <w:sz w:val="24"/>
          <w:shd w:fill="auto" w:val="clear"/>
        </w:rPr>
        <w:tab/>
        <w:t xml:space="preserve">67</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2.2.9</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РОМАН</w:t>
      </w:r>
      <w:r>
        <w:rPr>
          <w:rFonts w:ascii="Times New Roman" w:hAnsi="Times New Roman" w:cs="Times New Roman" w:eastAsia="Times New Roman"/>
          <w:color w:val="auto"/>
          <w:spacing w:val="0"/>
          <w:position w:val="0"/>
          <w:sz w:val="24"/>
          <w:shd w:fill="auto" w:val="clear"/>
        </w:rPr>
        <w:tab/>
        <w:t xml:space="preserve">69</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2.2.10</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ХАЙРЕДИН</w:t>
      </w:r>
      <w:r>
        <w:rPr>
          <w:rFonts w:ascii="Times New Roman" w:hAnsi="Times New Roman" w:cs="Times New Roman" w:eastAsia="Times New Roman"/>
          <w:color w:val="auto"/>
          <w:spacing w:val="0"/>
          <w:position w:val="0"/>
          <w:sz w:val="24"/>
          <w:shd w:fill="auto" w:val="clear"/>
        </w:rPr>
        <w:tab/>
        <w:t xml:space="preserve">71</w:t>
      </w:r>
    </w:p>
    <w:p>
      <w:pPr>
        <w:tabs>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АНАЛИЗ НА ПОТРЕБНОСТИТЕ В ОБЛАСТ ВРАЦА (обобщено)</w:t>
      </w:r>
      <w:r>
        <w:rPr>
          <w:rFonts w:ascii="Times New Roman" w:hAnsi="Times New Roman" w:cs="Times New Roman" w:eastAsia="Times New Roman"/>
          <w:color w:val="auto"/>
          <w:spacing w:val="0"/>
          <w:position w:val="0"/>
          <w:sz w:val="24"/>
          <w:shd w:fill="auto" w:val="clear"/>
        </w:rPr>
        <w:tab/>
        <w:t xml:space="preserve">73</w:t>
      </w:r>
    </w:p>
    <w:p>
      <w:pPr>
        <w:tabs>
          <w:tab w:val="left" w:pos="88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2.3</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ОБЛАСТ ЛОВЕЧ</w:t>
      </w:r>
      <w:r>
        <w:rPr>
          <w:rFonts w:ascii="Times New Roman" w:hAnsi="Times New Roman" w:cs="Times New Roman" w:eastAsia="Times New Roman"/>
          <w:color w:val="auto"/>
          <w:spacing w:val="0"/>
          <w:position w:val="0"/>
          <w:sz w:val="24"/>
          <w:shd w:fill="auto" w:val="clear"/>
        </w:rPr>
        <w:tab/>
        <w:t xml:space="preserve">79</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2.3.1</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АПРИЛЦИ</w:t>
      </w:r>
      <w:r>
        <w:rPr>
          <w:rFonts w:ascii="Times New Roman" w:hAnsi="Times New Roman" w:cs="Times New Roman" w:eastAsia="Times New Roman"/>
          <w:color w:val="auto"/>
          <w:spacing w:val="0"/>
          <w:position w:val="0"/>
          <w:sz w:val="24"/>
          <w:shd w:fill="auto" w:val="clear"/>
        </w:rPr>
        <w:tab/>
        <w:t xml:space="preserve">79</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2.3.2</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ЛЕТНИЦА</w:t>
      </w:r>
      <w:r>
        <w:rPr>
          <w:rFonts w:ascii="Times New Roman" w:hAnsi="Times New Roman" w:cs="Times New Roman" w:eastAsia="Times New Roman"/>
          <w:color w:val="auto"/>
          <w:spacing w:val="0"/>
          <w:position w:val="0"/>
          <w:sz w:val="24"/>
          <w:shd w:fill="auto" w:val="clear"/>
        </w:rPr>
        <w:tab/>
        <w:t xml:space="preserve">81</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2.3.3</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ЛОВЕЧ</w:t>
      </w:r>
      <w:r>
        <w:rPr>
          <w:rFonts w:ascii="Times New Roman" w:hAnsi="Times New Roman" w:cs="Times New Roman" w:eastAsia="Times New Roman"/>
          <w:color w:val="auto"/>
          <w:spacing w:val="0"/>
          <w:position w:val="0"/>
          <w:sz w:val="24"/>
          <w:shd w:fill="auto" w:val="clear"/>
        </w:rPr>
        <w:tab/>
        <w:t xml:space="preserve">84</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2.3.4</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ЛУКОВИТ</w:t>
      </w:r>
      <w:r>
        <w:rPr>
          <w:rFonts w:ascii="Times New Roman" w:hAnsi="Times New Roman" w:cs="Times New Roman" w:eastAsia="Times New Roman"/>
          <w:color w:val="auto"/>
          <w:spacing w:val="0"/>
          <w:position w:val="0"/>
          <w:sz w:val="24"/>
          <w:shd w:fill="auto" w:val="clear"/>
        </w:rPr>
        <w:tab/>
        <w:t xml:space="preserve">86</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2.3.5</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ТЕТЕВЕН</w:t>
      </w:r>
      <w:r>
        <w:rPr>
          <w:rFonts w:ascii="Times New Roman" w:hAnsi="Times New Roman" w:cs="Times New Roman" w:eastAsia="Times New Roman"/>
          <w:color w:val="auto"/>
          <w:spacing w:val="0"/>
          <w:position w:val="0"/>
          <w:sz w:val="24"/>
          <w:shd w:fill="auto" w:val="clear"/>
        </w:rPr>
        <w:tab/>
        <w:t xml:space="preserve">88</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2.3.6</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ТРОЯН</w:t>
      </w:r>
      <w:r>
        <w:rPr>
          <w:rFonts w:ascii="Times New Roman" w:hAnsi="Times New Roman" w:cs="Times New Roman" w:eastAsia="Times New Roman"/>
          <w:color w:val="auto"/>
          <w:spacing w:val="0"/>
          <w:position w:val="0"/>
          <w:sz w:val="24"/>
          <w:shd w:fill="auto" w:val="clear"/>
        </w:rPr>
        <w:tab/>
        <w:t xml:space="preserve">90</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2.3.7</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УГЪРЧИН</w:t>
      </w:r>
      <w:r>
        <w:rPr>
          <w:rFonts w:ascii="Times New Roman" w:hAnsi="Times New Roman" w:cs="Times New Roman" w:eastAsia="Times New Roman"/>
          <w:color w:val="auto"/>
          <w:spacing w:val="0"/>
          <w:position w:val="0"/>
          <w:sz w:val="24"/>
          <w:shd w:fill="auto" w:val="clear"/>
        </w:rPr>
        <w:tab/>
        <w:t xml:space="preserve">93</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2.3.8</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ЯБЛАНИЦА</w:t>
      </w:r>
      <w:r>
        <w:rPr>
          <w:rFonts w:ascii="Times New Roman" w:hAnsi="Times New Roman" w:cs="Times New Roman" w:eastAsia="Times New Roman"/>
          <w:color w:val="auto"/>
          <w:spacing w:val="0"/>
          <w:position w:val="0"/>
          <w:sz w:val="24"/>
          <w:shd w:fill="auto" w:val="clear"/>
        </w:rPr>
        <w:tab/>
        <w:t xml:space="preserve">95</w:t>
      </w:r>
    </w:p>
    <w:p>
      <w:pPr>
        <w:tabs>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АНАЛИЗ НА ПОТРЕБНОСТИТЕ В ОБЛАСТ ЛОВЕЧ (обобщено)</w:t>
      </w:r>
      <w:r>
        <w:rPr>
          <w:rFonts w:ascii="Times New Roman" w:hAnsi="Times New Roman" w:cs="Times New Roman" w:eastAsia="Times New Roman"/>
          <w:color w:val="auto"/>
          <w:spacing w:val="0"/>
          <w:position w:val="0"/>
          <w:sz w:val="24"/>
          <w:shd w:fill="auto" w:val="clear"/>
        </w:rPr>
        <w:tab/>
        <w:t xml:space="preserve">96</w:t>
      </w:r>
    </w:p>
    <w:p>
      <w:pPr>
        <w:tabs>
          <w:tab w:val="left" w:pos="88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2.4</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ОБЛАСТ МОНТАНА</w:t>
      </w:r>
      <w:r>
        <w:rPr>
          <w:rFonts w:ascii="Times New Roman" w:hAnsi="Times New Roman" w:cs="Times New Roman" w:eastAsia="Times New Roman"/>
          <w:color w:val="auto"/>
          <w:spacing w:val="0"/>
          <w:position w:val="0"/>
          <w:sz w:val="24"/>
          <w:shd w:fill="auto" w:val="clear"/>
        </w:rPr>
        <w:tab/>
        <w:t xml:space="preserve">103</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2.4.1</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БЕРКОВИЦА</w:t>
      </w:r>
      <w:r>
        <w:rPr>
          <w:rFonts w:ascii="Times New Roman" w:hAnsi="Times New Roman" w:cs="Times New Roman" w:eastAsia="Times New Roman"/>
          <w:color w:val="auto"/>
          <w:spacing w:val="0"/>
          <w:position w:val="0"/>
          <w:sz w:val="24"/>
          <w:shd w:fill="auto" w:val="clear"/>
        </w:rPr>
        <w:tab/>
        <w:t xml:space="preserve">103</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2.4.2</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БОЙЧИНОВЦИ</w:t>
      </w:r>
      <w:r>
        <w:rPr>
          <w:rFonts w:ascii="Times New Roman" w:hAnsi="Times New Roman" w:cs="Times New Roman" w:eastAsia="Times New Roman"/>
          <w:color w:val="auto"/>
          <w:spacing w:val="0"/>
          <w:position w:val="0"/>
          <w:sz w:val="24"/>
          <w:shd w:fill="auto" w:val="clear"/>
        </w:rPr>
        <w:tab/>
        <w:t xml:space="preserve">105</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2.4.3</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БРУСАРЦИ</w:t>
      </w:r>
      <w:r>
        <w:rPr>
          <w:rFonts w:ascii="Times New Roman" w:hAnsi="Times New Roman" w:cs="Times New Roman" w:eastAsia="Times New Roman"/>
          <w:color w:val="auto"/>
          <w:spacing w:val="0"/>
          <w:position w:val="0"/>
          <w:sz w:val="24"/>
          <w:shd w:fill="auto" w:val="clear"/>
        </w:rPr>
        <w:tab/>
        <w:t xml:space="preserve">107</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2.4.4</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ВЪЛЧЕДРЪМ</w:t>
      </w:r>
      <w:r>
        <w:rPr>
          <w:rFonts w:ascii="Times New Roman" w:hAnsi="Times New Roman" w:cs="Times New Roman" w:eastAsia="Times New Roman"/>
          <w:color w:val="auto"/>
          <w:spacing w:val="0"/>
          <w:position w:val="0"/>
          <w:sz w:val="24"/>
          <w:shd w:fill="auto" w:val="clear"/>
        </w:rPr>
        <w:tab/>
        <w:t xml:space="preserve">109</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2.4.5</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ВЪРШЕЦ</w:t>
      </w:r>
      <w:r>
        <w:rPr>
          <w:rFonts w:ascii="Times New Roman" w:hAnsi="Times New Roman" w:cs="Times New Roman" w:eastAsia="Times New Roman"/>
          <w:color w:val="auto"/>
          <w:spacing w:val="0"/>
          <w:position w:val="0"/>
          <w:sz w:val="24"/>
          <w:shd w:fill="auto" w:val="clear"/>
        </w:rPr>
        <w:tab/>
        <w:t xml:space="preserve">111</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2.4.6</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ГЕОРГИ ДАМЯНОВО</w:t>
      </w:r>
      <w:r>
        <w:rPr>
          <w:rFonts w:ascii="Times New Roman" w:hAnsi="Times New Roman" w:cs="Times New Roman" w:eastAsia="Times New Roman"/>
          <w:color w:val="auto"/>
          <w:spacing w:val="0"/>
          <w:position w:val="0"/>
          <w:sz w:val="24"/>
          <w:shd w:fill="auto" w:val="clear"/>
        </w:rPr>
        <w:tab/>
        <w:t xml:space="preserve">114</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2.4.7</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ЛОМ</w:t>
      </w:r>
      <w:r>
        <w:rPr>
          <w:rFonts w:ascii="Times New Roman" w:hAnsi="Times New Roman" w:cs="Times New Roman" w:eastAsia="Times New Roman"/>
          <w:color w:val="auto"/>
          <w:spacing w:val="0"/>
          <w:position w:val="0"/>
          <w:sz w:val="24"/>
          <w:shd w:fill="auto" w:val="clear"/>
        </w:rPr>
        <w:tab/>
        <w:t xml:space="preserve">115</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2.4.8</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МЕДКОВЕЦ</w:t>
      </w:r>
      <w:r>
        <w:rPr>
          <w:rFonts w:ascii="Times New Roman" w:hAnsi="Times New Roman" w:cs="Times New Roman" w:eastAsia="Times New Roman"/>
          <w:color w:val="auto"/>
          <w:spacing w:val="0"/>
          <w:position w:val="0"/>
          <w:sz w:val="24"/>
          <w:shd w:fill="auto" w:val="clear"/>
        </w:rPr>
        <w:tab/>
        <w:t xml:space="preserve">118</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2.4.9</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МОНТАНА</w:t>
      </w:r>
      <w:r>
        <w:rPr>
          <w:rFonts w:ascii="Times New Roman" w:hAnsi="Times New Roman" w:cs="Times New Roman" w:eastAsia="Times New Roman"/>
          <w:color w:val="auto"/>
          <w:spacing w:val="0"/>
          <w:position w:val="0"/>
          <w:sz w:val="24"/>
          <w:shd w:fill="auto" w:val="clear"/>
        </w:rPr>
        <w:tab/>
        <w:t xml:space="preserve">119</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2.4.10</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ЧИПРОВЦИ</w:t>
      </w:r>
      <w:r>
        <w:rPr>
          <w:rFonts w:ascii="Times New Roman" w:hAnsi="Times New Roman" w:cs="Times New Roman" w:eastAsia="Times New Roman"/>
          <w:color w:val="auto"/>
          <w:spacing w:val="0"/>
          <w:position w:val="0"/>
          <w:sz w:val="24"/>
          <w:shd w:fill="auto" w:val="clear"/>
        </w:rPr>
        <w:tab/>
        <w:t xml:space="preserve">122</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2.4.11</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ЯКИМОВО</w:t>
      </w:r>
      <w:r>
        <w:rPr>
          <w:rFonts w:ascii="Times New Roman" w:hAnsi="Times New Roman" w:cs="Times New Roman" w:eastAsia="Times New Roman"/>
          <w:color w:val="auto"/>
          <w:spacing w:val="0"/>
          <w:position w:val="0"/>
          <w:sz w:val="24"/>
          <w:shd w:fill="auto" w:val="clear"/>
        </w:rPr>
        <w:tab/>
        <w:t xml:space="preserve">123</w:t>
      </w:r>
    </w:p>
    <w:p>
      <w:pPr>
        <w:tabs>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АНАЛИЗ НА ПОТРЕБНОСТИТЕ В ОБЛАСТ МОНТАНА (обобщено)</w:t>
      </w:r>
      <w:r>
        <w:rPr>
          <w:rFonts w:ascii="Times New Roman" w:hAnsi="Times New Roman" w:cs="Times New Roman" w:eastAsia="Times New Roman"/>
          <w:color w:val="auto"/>
          <w:spacing w:val="0"/>
          <w:position w:val="0"/>
          <w:sz w:val="24"/>
          <w:shd w:fill="auto" w:val="clear"/>
        </w:rPr>
        <w:tab/>
        <w:t xml:space="preserve">125</w:t>
      </w:r>
    </w:p>
    <w:p>
      <w:pPr>
        <w:tabs>
          <w:tab w:val="left" w:pos="88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2.5</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ОБЛАСТ ПЛЕВЕН</w:t>
      </w:r>
      <w:r>
        <w:rPr>
          <w:rFonts w:ascii="Times New Roman" w:hAnsi="Times New Roman" w:cs="Times New Roman" w:eastAsia="Times New Roman"/>
          <w:color w:val="auto"/>
          <w:spacing w:val="0"/>
          <w:position w:val="0"/>
          <w:sz w:val="24"/>
          <w:shd w:fill="auto" w:val="clear"/>
        </w:rPr>
        <w:tab/>
        <w:t xml:space="preserve">131</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2.5.1</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БЕЛЕНЕ</w:t>
      </w:r>
      <w:r>
        <w:rPr>
          <w:rFonts w:ascii="Times New Roman" w:hAnsi="Times New Roman" w:cs="Times New Roman" w:eastAsia="Times New Roman"/>
          <w:color w:val="auto"/>
          <w:spacing w:val="0"/>
          <w:position w:val="0"/>
          <w:sz w:val="24"/>
          <w:shd w:fill="auto" w:val="clear"/>
        </w:rPr>
        <w:tab/>
        <w:t xml:space="preserve">131</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2.5.2</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ГУЛЯНЦИ</w:t>
      </w:r>
      <w:r>
        <w:rPr>
          <w:rFonts w:ascii="Times New Roman" w:hAnsi="Times New Roman" w:cs="Times New Roman" w:eastAsia="Times New Roman"/>
          <w:color w:val="auto"/>
          <w:spacing w:val="0"/>
          <w:position w:val="0"/>
          <w:sz w:val="24"/>
          <w:shd w:fill="auto" w:val="clear"/>
        </w:rPr>
        <w:tab/>
        <w:t xml:space="preserve">134</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2.5.3</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ДОЛНА МИТРОПОЛИЯ</w:t>
      </w:r>
      <w:r>
        <w:rPr>
          <w:rFonts w:ascii="Times New Roman" w:hAnsi="Times New Roman" w:cs="Times New Roman" w:eastAsia="Times New Roman"/>
          <w:color w:val="auto"/>
          <w:spacing w:val="0"/>
          <w:position w:val="0"/>
          <w:sz w:val="24"/>
          <w:shd w:fill="auto" w:val="clear"/>
        </w:rPr>
        <w:tab/>
        <w:t xml:space="preserve">136</w:t>
      </w:r>
    </w:p>
    <w:p>
      <w:pPr>
        <w:tabs>
          <w:tab w:val="left" w:pos="88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2.6</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ДОЛНИ ДЪБНИК</w:t>
      </w:r>
      <w:r>
        <w:rPr>
          <w:rFonts w:ascii="Times New Roman" w:hAnsi="Times New Roman" w:cs="Times New Roman" w:eastAsia="Times New Roman"/>
          <w:color w:val="auto"/>
          <w:spacing w:val="0"/>
          <w:position w:val="0"/>
          <w:sz w:val="24"/>
          <w:shd w:fill="auto" w:val="clear"/>
        </w:rPr>
        <w:tab/>
        <w:t xml:space="preserve">138</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2.6.1</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ИСКЪР</w:t>
      </w:r>
      <w:r>
        <w:rPr>
          <w:rFonts w:ascii="Times New Roman" w:hAnsi="Times New Roman" w:cs="Times New Roman" w:eastAsia="Times New Roman"/>
          <w:color w:val="auto"/>
          <w:spacing w:val="0"/>
          <w:position w:val="0"/>
          <w:sz w:val="24"/>
          <w:shd w:fill="auto" w:val="clear"/>
        </w:rPr>
        <w:tab/>
        <w:t xml:space="preserve">141</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2.6.2</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КНЕЖА</w:t>
      </w:r>
      <w:r>
        <w:rPr>
          <w:rFonts w:ascii="Times New Roman" w:hAnsi="Times New Roman" w:cs="Times New Roman" w:eastAsia="Times New Roman"/>
          <w:color w:val="auto"/>
          <w:spacing w:val="0"/>
          <w:position w:val="0"/>
          <w:sz w:val="24"/>
          <w:shd w:fill="auto" w:val="clear"/>
        </w:rPr>
        <w:tab/>
        <w:t xml:space="preserve">142</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2.6.3</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ЛЕВСКИ</w:t>
      </w:r>
      <w:r>
        <w:rPr>
          <w:rFonts w:ascii="Times New Roman" w:hAnsi="Times New Roman" w:cs="Times New Roman" w:eastAsia="Times New Roman"/>
          <w:color w:val="auto"/>
          <w:spacing w:val="0"/>
          <w:position w:val="0"/>
          <w:sz w:val="24"/>
          <w:shd w:fill="auto" w:val="clear"/>
        </w:rPr>
        <w:tab/>
        <w:t xml:space="preserve">144</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2.6.4</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НИКОПОЛ</w:t>
      </w:r>
      <w:r>
        <w:rPr>
          <w:rFonts w:ascii="Times New Roman" w:hAnsi="Times New Roman" w:cs="Times New Roman" w:eastAsia="Times New Roman"/>
          <w:color w:val="auto"/>
          <w:spacing w:val="0"/>
          <w:position w:val="0"/>
          <w:sz w:val="24"/>
          <w:shd w:fill="auto" w:val="clear"/>
        </w:rPr>
        <w:tab/>
        <w:t xml:space="preserve">147</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2.6.5</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ПЛЕВЕН</w:t>
      </w:r>
      <w:r>
        <w:rPr>
          <w:rFonts w:ascii="Times New Roman" w:hAnsi="Times New Roman" w:cs="Times New Roman" w:eastAsia="Times New Roman"/>
          <w:color w:val="auto"/>
          <w:spacing w:val="0"/>
          <w:position w:val="0"/>
          <w:sz w:val="24"/>
          <w:shd w:fill="auto" w:val="clear"/>
        </w:rPr>
        <w:tab/>
        <w:t xml:space="preserve">149</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2.6.6</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ПОРДИМ</w:t>
      </w:r>
      <w:r>
        <w:rPr>
          <w:rFonts w:ascii="Times New Roman" w:hAnsi="Times New Roman" w:cs="Times New Roman" w:eastAsia="Times New Roman"/>
          <w:color w:val="auto"/>
          <w:spacing w:val="0"/>
          <w:position w:val="0"/>
          <w:sz w:val="24"/>
          <w:shd w:fill="auto" w:val="clear"/>
        </w:rPr>
        <w:tab/>
        <w:t xml:space="preserve">151</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2.6.7</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ЧЕРВЕН БРЯГ</w:t>
      </w:r>
      <w:r>
        <w:rPr>
          <w:rFonts w:ascii="Times New Roman" w:hAnsi="Times New Roman" w:cs="Times New Roman" w:eastAsia="Times New Roman"/>
          <w:color w:val="auto"/>
          <w:spacing w:val="0"/>
          <w:position w:val="0"/>
          <w:sz w:val="24"/>
          <w:shd w:fill="auto" w:val="clear"/>
        </w:rPr>
        <w:tab/>
        <w:t xml:space="preserve">154</w:t>
      </w:r>
    </w:p>
    <w:p>
      <w:pPr>
        <w:tabs>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АНАЛИЗ НА ПОТРЕБНОСТИТЕ В ОБЛАСТ ПЛЕВЕН (обобщено)</w:t>
      </w:r>
      <w:r>
        <w:rPr>
          <w:rFonts w:ascii="Times New Roman" w:hAnsi="Times New Roman" w:cs="Times New Roman" w:eastAsia="Times New Roman"/>
          <w:color w:val="auto"/>
          <w:spacing w:val="0"/>
          <w:position w:val="0"/>
          <w:sz w:val="24"/>
          <w:shd w:fill="auto" w:val="clear"/>
        </w:rPr>
        <w:tab/>
        <w:t xml:space="preserve">156</w:t>
      </w:r>
    </w:p>
    <w:p>
      <w:pPr>
        <w:tabs>
          <w:tab w:val="left" w:pos="480" w:leader="none"/>
          <w:tab w:val="right" w:pos="9060" w:leader="dot"/>
        </w:tabs>
        <w:spacing w:before="0" w:after="60" w:line="240"/>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3</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СЕВЕРЕН ЦЕНТРАЛЕН РАЙОН</w:t>
      </w:r>
      <w:r>
        <w:rPr>
          <w:rFonts w:ascii="Times New Roman" w:hAnsi="Times New Roman" w:cs="Times New Roman" w:eastAsia="Times New Roman"/>
          <w:color w:val="auto"/>
          <w:spacing w:val="0"/>
          <w:position w:val="0"/>
          <w:sz w:val="24"/>
          <w:shd w:fill="auto" w:val="clear"/>
        </w:rPr>
        <w:tab/>
        <w:t xml:space="preserve">161</w:t>
      </w:r>
    </w:p>
    <w:p>
      <w:pPr>
        <w:tabs>
          <w:tab w:val="left" w:pos="88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3.1</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ОБЛАСТ ВЕЛИКО ТЪРНОВО</w:t>
      </w:r>
      <w:r>
        <w:rPr>
          <w:rFonts w:ascii="Times New Roman" w:hAnsi="Times New Roman" w:cs="Times New Roman" w:eastAsia="Times New Roman"/>
          <w:color w:val="auto"/>
          <w:spacing w:val="0"/>
          <w:position w:val="0"/>
          <w:sz w:val="24"/>
          <w:shd w:fill="auto" w:val="clear"/>
        </w:rPr>
        <w:tab/>
        <w:t xml:space="preserve">161</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3.1.1</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ВЕЛИКО ТЪРНОВО</w:t>
      </w:r>
      <w:r>
        <w:rPr>
          <w:rFonts w:ascii="Times New Roman" w:hAnsi="Times New Roman" w:cs="Times New Roman" w:eastAsia="Times New Roman"/>
          <w:color w:val="auto"/>
          <w:spacing w:val="0"/>
          <w:position w:val="0"/>
          <w:sz w:val="24"/>
          <w:shd w:fill="auto" w:val="clear"/>
        </w:rPr>
        <w:tab/>
        <w:t xml:space="preserve">161</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3.1.2</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ГОРНА ОРЯХОВИЦА</w:t>
      </w:r>
      <w:r>
        <w:rPr>
          <w:rFonts w:ascii="Times New Roman" w:hAnsi="Times New Roman" w:cs="Times New Roman" w:eastAsia="Times New Roman"/>
          <w:color w:val="auto"/>
          <w:spacing w:val="0"/>
          <w:position w:val="0"/>
          <w:sz w:val="24"/>
          <w:shd w:fill="auto" w:val="clear"/>
        </w:rPr>
        <w:tab/>
        <w:t xml:space="preserve">165</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3.1.3</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ЕЛЕНА</w:t>
      </w:r>
      <w:r>
        <w:rPr>
          <w:rFonts w:ascii="Times New Roman" w:hAnsi="Times New Roman" w:cs="Times New Roman" w:eastAsia="Times New Roman"/>
          <w:color w:val="auto"/>
          <w:spacing w:val="0"/>
          <w:position w:val="0"/>
          <w:sz w:val="24"/>
          <w:shd w:fill="auto" w:val="clear"/>
        </w:rPr>
        <w:tab/>
        <w:t xml:space="preserve">167</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3.1.4</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ЗЛАТАРИЦА</w:t>
      </w:r>
      <w:r>
        <w:rPr>
          <w:rFonts w:ascii="Times New Roman" w:hAnsi="Times New Roman" w:cs="Times New Roman" w:eastAsia="Times New Roman"/>
          <w:color w:val="auto"/>
          <w:spacing w:val="0"/>
          <w:position w:val="0"/>
          <w:sz w:val="24"/>
          <w:shd w:fill="auto" w:val="clear"/>
        </w:rPr>
        <w:tab/>
        <w:t xml:space="preserve">168</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3.1.5</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ЛЯСКОВЕЦ</w:t>
      </w:r>
      <w:r>
        <w:rPr>
          <w:rFonts w:ascii="Times New Roman" w:hAnsi="Times New Roman" w:cs="Times New Roman" w:eastAsia="Times New Roman"/>
          <w:color w:val="auto"/>
          <w:spacing w:val="0"/>
          <w:position w:val="0"/>
          <w:sz w:val="24"/>
          <w:shd w:fill="auto" w:val="clear"/>
        </w:rPr>
        <w:tab/>
        <w:t xml:space="preserve">170</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3.1.6</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ПАВЛИКЕНИ</w:t>
      </w:r>
      <w:r>
        <w:rPr>
          <w:rFonts w:ascii="Times New Roman" w:hAnsi="Times New Roman" w:cs="Times New Roman" w:eastAsia="Times New Roman"/>
          <w:color w:val="auto"/>
          <w:spacing w:val="0"/>
          <w:position w:val="0"/>
          <w:sz w:val="24"/>
          <w:shd w:fill="auto" w:val="clear"/>
        </w:rPr>
        <w:tab/>
        <w:t xml:space="preserve">172</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3.1.7</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ПОЛСКИ ТРЪМБЕШ</w:t>
      </w:r>
      <w:r>
        <w:rPr>
          <w:rFonts w:ascii="Times New Roman" w:hAnsi="Times New Roman" w:cs="Times New Roman" w:eastAsia="Times New Roman"/>
          <w:color w:val="auto"/>
          <w:spacing w:val="0"/>
          <w:position w:val="0"/>
          <w:sz w:val="24"/>
          <w:shd w:fill="auto" w:val="clear"/>
        </w:rPr>
        <w:tab/>
        <w:t xml:space="preserve">174</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3.1.8</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СВИЩОВ</w:t>
      </w:r>
      <w:r>
        <w:rPr>
          <w:rFonts w:ascii="Times New Roman" w:hAnsi="Times New Roman" w:cs="Times New Roman" w:eastAsia="Times New Roman"/>
          <w:color w:val="auto"/>
          <w:spacing w:val="0"/>
          <w:position w:val="0"/>
          <w:sz w:val="24"/>
          <w:shd w:fill="auto" w:val="clear"/>
        </w:rPr>
        <w:tab/>
        <w:t xml:space="preserve">176</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3.1.9</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СТРАЖИЦА</w:t>
      </w:r>
      <w:r>
        <w:rPr>
          <w:rFonts w:ascii="Times New Roman" w:hAnsi="Times New Roman" w:cs="Times New Roman" w:eastAsia="Times New Roman"/>
          <w:color w:val="auto"/>
          <w:spacing w:val="0"/>
          <w:position w:val="0"/>
          <w:sz w:val="24"/>
          <w:shd w:fill="auto" w:val="clear"/>
        </w:rPr>
        <w:tab/>
        <w:t xml:space="preserve">178</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3.1.10</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СУХИНДОЛ</w:t>
      </w:r>
      <w:r>
        <w:rPr>
          <w:rFonts w:ascii="Times New Roman" w:hAnsi="Times New Roman" w:cs="Times New Roman" w:eastAsia="Times New Roman"/>
          <w:color w:val="auto"/>
          <w:spacing w:val="0"/>
          <w:position w:val="0"/>
          <w:sz w:val="24"/>
          <w:shd w:fill="auto" w:val="clear"/>
        </w:rPr>
        <w:tab/>
        <w:t xml:space="preserve">180</w:t>
      </w:r>
    </w:p>
    <w:p>
      <w:pPr>
        <w:tabs>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АНАЛИЗ НА ПОТРЕБНОСТИТЕ В ОБЛАСТ ВЕЛИКО ТЪРНОВО (обобщено)</w:t>
      </w:r>
      <w:r>
        <w:rPr>
          <w:rFonts w:ascii="Times New Roman" w:hAnsi="Times New Roman" w:cs="Times New Roman" w:eastAsia="Times New Roman"/>
          <w:color w:val="auto"/>
          <w:spacing w:val="0"/>
          <w:position w:val="0"/>
          <w:sz w:val="24"/>
          <w:shd w:fill="auto" w:val="clear"/>
        </w:rPr>
        <w:tab/>
        <w:t xml:space="preserve">182</w:t>
      </w:r>
    </w:p>
    <w:p>
      <w:pPr>
        <w:tabs>
          <w:tab w:val="left" w:pos="88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3.2</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ОБЛАСТ ГАБРОВО</w:t>
      </w:r>
      <w:r>
        <w:rPr>
          <w:rFonts w:ascii="Times New Roman" w:hAnsi="Times New Roman" w:cs="Times New Roman" w:eastAsia="Times New Roman"/>
          <w:color w:val="auto"/>
          <w:spacing w:val="0"/>
          <w:position w:val="0"/>
          <w:sz w:val="24"/>
          <w:shd w:fill="auto" w:val="clear"/>
        </w:rPr>
        <w:tab/>
        <w:t xml:space="preserve">187</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3.2.1</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ГАБРОВО</w:t>
      </w:r>
      <w:r>
        <w:rPr>
          <w:rFonts w:ascii="Times New Roman" w:hAnsi="Times New Roman" w:cs="Times New Roman" w:eastAsia="Times New Roman"/>
          <w:color w:val="auto"/>
          <w:spacing w:val="0"/>
          <w:position w:val="0"/>
          <w:sz w:val="24"/>
          <w:shd w:fill="auto" w:val="clear"/>
        </w:rPr>
        <w:tab/>
        <w:t xml:space="preserve">187</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3.2.2</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ДРЯНОВО</w:t>
      </w:r>
      <w:r>
        <w:rPr>
          <w:rFonts w:ascii="Times New Roman" w:hAnsi="Times New Roman" w:cs="Times New Roman" w:eastAsia="Times New Roman"/>
          <w:color w:val="auto"/>
          <w:spacing w:val="0"/>
          <w:position w:val="0"/>
          <w:sz w:val="24"/>
          <w:shd w:fill="auto" w:val="clear"/>
        </w:rPr>
        <w:tab/>
        <w:t xml:space="preserve">189</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3.2.3</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ТРЯВНА</w:t>
      </w:r>
      <w:r>
        <w:rPr>
          <w:rFonts w:ascii="Times New Roman" w:hAnsi="Times New Roman" w:cs="Times New Roman" w:eastAsia="Times New Roman"/>
          <w:color w:val="auto"/>
          <w:spacing w:val="0"/>
          <w:position w:val="0"/>
          <w:sz w:val="24"/>
          <w:shd w:fill="auto" w:val="clear"/>
        </w:rPr>
        <w:tab/>
        <w:t xml:space="preserve">191</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3.2.4</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СЕВЛИЕВО</w:t>
      </w:r>
      <w:r>
        <w:rPr>
          <w:rFonts w:ascii="Times New Roman" w:hAnsi="Times New Roman" w:cs="Times New Roman" w:eastAsia="Times New Roman"/>
          <w:color w:val="auto"/>
          <w:spacing w:val="0"/>
          <w:position w:val="0"/>
          <w:sz w:val="24"/>
          <w:shd w:fill="auto" w:val="clear"/>
        </w:rPr>
        <w:tab/>
        <w:t xml:space="preserve">194</w:t>
      </w:r>
    </w:p>
    <w:p>
      <w:pPr>
        <w:tabs>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АНАЛИЗ НА ПОТРЕБНОСТИТЕ В ОБЛАСТ ГАБРОВО (обобщено)</w:t>
      </w:r>
      <w:r>
        <w:rPr>
          <w:rFonts w:ascii="Times New Roman" w:hAnsi="Times New Roman" w:cs="Times New Roman" w:eastAsia="Times New Roman"/>
          <w:color w:val="auto"/>
          <w:spacing w:val="0"/>
          <w:position w:val="0"/>
          <w:sz w:val="24"/>
          <w:shd w:fill="auto" w:val="clear"/>
        </w:rPr>
        <w:tab/>
        <w:t xml:space="preserve">197</w:t>
      </w:r>
    </w:p>
    <w:p>
      <w:pPr>
        <w:tabs>
          <w:tab w:val="left" w:pos="88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3.3</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ОБЛАСТ РАЗГРАД</w:t>
      </w:r>
      <w:r>
        <w:rPr>
          <w:rFonts w:ascii="Times New Roman" w:hAnsi="Times New Roman" w:cs="Times New Roman" w:eastAsia="Times New Roman"/>
          <w:color w:val="auto"/>
          <w:spacing w:val="0"/>
          <w:position w:val="0"/>
          <w:sz w:val="24"/>
          <w:shd w:fill="auto" w:val="clear"/>
        </w:rPr>
        <w:tab/>
        <w:t xml:space="preserve">202</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3.3.1</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ЗАВЕТ</w:t>
      </w:r>
      <w:r>
        <w:rPr>
          <w:rFonts w:ascii="Times New Roman" w:hAnsi="Times New Roman" w:cs="Times New Roman" w:eastAsia="Times New Roman"/>
          <w:color w:val="auto"/>
          <w:spacing w:val="0"/>
          <w:position w:val="0"/>
          <w:sz w:val="24"/>
          <w:shd w:fill="auto" w:val="clear"/>
        </w:rPr>
        <w:tab/>
        <w:t xml:space="preserve">202</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3.3.2</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ИСПЕРИХ</w:t>
      </w:r>
      <w:r>
        <w:rPr>
          <w:rFonts w:ascii="Times New Roman" w:hAnsi="Times New Roman" w:cs="Times New Roman" w:eastAsia="Times New Roman"/>
          <w:color w:val="auto"/>
          <w:spacing w:val="0"/>
          <w:position w:val="0"/>
          <w:sz w:val="24"/>
          <w:shd w:fill="auto" w:val="clear"/>
        </w:rPr>
        <w:tab/>
        <w:t xml:space="preserve">204</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3.3.3</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КУБРАТ</w:t>
      </w:r>
      <w:r>
        <w:rPr>
          <w:rFonts w:ascii="Times New Roman" w:hAnsi="Times New Roman" w:cs="Times New Roman" w:eastAsia="Times New Roman"/>
          <w:color w:val="auto"/>
          <w:spacing w:val="0"/>
          <w:position w:val="0"/>
          <w:sz w:val="24"/>
          <w:shd w:fill="auto" w:val="clear"/>
        </w:rPr>
        <w:tab/>
        <w:t xml:space="preserve">206</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3.3.4</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ЛОЗНИЦА</w:t>
      </w:r>
      <w:r>
        <w:rPr>
          <w:rFonts w:ascii="Times New Roman" w:hAnsi="Times New Roman" w:cs="Times New Roman" w:eastAsia="Times New Roman"/>
          <w:color w:val="auto"/>
          <w:spacing w:val="0"/>
          <w:position w:val="0"/>
          <w:sz w:val="24"/>
          <w:shd w:fill="auto" w:val="clear"/>
        </w:rPr>
        <w:tab/>
        <w:t xml:space="preserve">208</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3.3.5</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РАЗГРАД</w:t>
      </w:r>
      <w:r>
        <w:rPr>
          <w:rFonts w:ascii="Times New Roman" w:hAnsi="Times New Roman" w:cs="Times New Roman" w:eastAsia="Times New Roman"/>
          <w:color w:val="auto"/>
          <w:spacing w:val="0"/>
          <w:position w:val="0"/>
          <w:sz w:val="24"/>
          <w:shd w:fill="auto" w:val="clear"/>
        </w:rPr>
        <w:tab/>
        <w:t xml:space="preserve">210</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3.3.6</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САМУИЛ</w:t>
      </w:r>
      <w:r>
        <w:rPr>
          <w:rFonts w:ascii="Times New Roman" w:hAnsi="Times New Roman" w:cs="Times New Roman" w:eastAsia="Times New Roman"/>
          <w:color w:val="auto"/>
          <w:spacing w:val="0"/>
          <w:position w:val="0"/>
          <w:sz w:val="24"/>
          <w:shd w:fill="auto" w:val="clear"/>
        </w:rPr>
        <w:tab/>
        <w:t xml:space="preserve">213</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3.3.7</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ЦАР КАЛОЯН</w:t>
      </w:r>
      <w:r>
        <w:rPr>
          <w:rFonts w:ascii="Times New Roman" w:hAnsi="Times New Roman" w:cs="Times New Roman" w:eastAsia="Times New Roman"/>
          <w:color w:val="auto"/>
          <w:spacing w:val="0"/>
          <w:position w:val="0"/>
          <w:sz w:val="24"/>
          <w:shd w:fill="auto" w:val="clear"/>
        </w:rPr>
        <w:tab/>
        <w:t xml:space="preserve">215</w:t>
      </w:r>
    </w:p>
    <w:p>
      <w:pPr>
        <w:tabs>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АНАЛИЗ НА ПОТРЕБНОСТИТЕ В ОБЛАСТ РАЗГРАД (обобщено)</w:t>
      </w:r>
      <w:r>
        <w:rPr>
          <w:rFonts w:ascii="Times New Roman" w:hAnsi="Times New Roman" w:cs="Times New Roman" w:eastAsia="Times New Roman"/>
          <w:color w:val="auto"/>
          <w:spacing w:val="0"/>
          <w:position w:val="0"/>
          <w:sz w:val="24"/>
          <w:shd w:fill="auto" w:val="clear"/>
        </w:rPr>
        <w:tab/>
        <w:t xml:space="preserve">217</w:t>
      </w:r>
    </w:p>
    <w:p>
      <w:pPr>
        <w:tabs>
          <w:tab w:val="left" w:pos="88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3.4</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ОБЛАСТ РУСЕ</w:t>
      </w:r>
      <w:r>
        <w:rPr>
          <w:rFonts w:ascii="Times New Roman" w:hAnsi="Times New Roman" w:cs="Times New Roman" w:eastAsia="Times New Roman"/>
          <w:color w:val="auto"/>
          <w:spacing w:val="0"/>
          <w:position w:val="0"/>
          <w:sz w:val="24"/>
          <w:shd w:fill="auto" w:val="clear"/>
        </w:rPr>
        <w:tab/>
        <w:t xml:space="preserve">222</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3.4.1</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БОРОВО</w:t>
      </w:r>
      <w:r>
        <w:rPr>
          <w:rFonts w:ascii="Times New Roman" w:hAnsi="Times New Roman" w:cs="Times New Roman" w:eastAsia="Times New Roman"/>
          <w:color w:val="auto"/>
          <w:spacing w:val="0"/>
          <w:position w:val="0"/>
          <w:sz w:val="24"/>
          <w:shd w:fill="auto" w:val="clear"/>
        </w:rPr>
        <w:tab/>
        <w:t xml:space="preserve">222</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3.4.2</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БЯЛА</w:t>
      </w:r>
      <w:r>
        <w:rPr>
          <w:rFonts w:ascii="Times New Roman" w:hAnsi="Times New Roman" w:cs="Times New Roman" w:eastAsia="Times New Roman"/>
          <w:color w:val="auto"/>
          <w:spacing w:val="0"/>
          <w:position w:val="0"/>
          <w:sz w:val="24"/>
          <w:shd w:fill="auto" w:val="clear"/>
        </w:rPr>
        <w:tab/>
        <w:t xml:space="preserve">224</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3.4.3</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ВЕТОВО</w:t>
      </w:r>
      <w:r>
        <w:rPr>
          <w:rFonts w:ascii="Times New Roman" w:hAnsi="Times New Roman" w:cs="Times New Roman" w:eastAsia="Times New Roman"/>
          <w:color w:val="auto"/>
          <w:spacing w:val="0"/>
          <w:position w:val="0"/>
          <w:sz w:val="24"/>
          <w:shd w:fill="auto" w:val="clear"/>
        </w:rPr>
        <w:tab/>
        <w:t xml:space="preserve">226</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3.4.4</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ДВЕ МОГИЛИ</w:t>
      </w:r>
      <w:r>
        <w:rPr>
          <w:rFonts w:ascii="Times New Roman" w:hAnsi="Times New Roman" w:cs="Times New Roman" w:eastAsia="Times New Roman"/>
          <w:color w:val="auto"/>
          <w:spacing w:val="0"/>
          <w:position w:val="0"/>
          <w:sz w:val="24"/>
          <w:shd w:fill="auto" w:val="clear"/>
        </w:rPr>
        <w:tab/>
        <w:t xml:space="preserve">228</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3.4.5</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ИВАНОВО</w:t>
      </w:r>
      <w:r>
        <w:rPr>
          <w:rFonts w:ascii="Times New Roman" w:hAnsi="Times New Roman" w:cs="Times New Roman" w:eastAsia="Times New Roman"/>
          <w:color w:val="auto"/>
          <w:spacing w:val="0"/>
          <w:position w:val="0"/>
          <w:sz w:val="24"/>
          <w:shd w:fill="auto" w:val="clear"/>
        </w:rPr>
        <w:tab/>
        <w:t xml:space="preserve">230</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3.4.6</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РУСЕ</w:t>
      </w:r>
      <w:r>
        <w:rPr>
          <w:rFonts w:ascii="Times New Roman" w:hAnsi="Times New Roman" w:cs="Times New Roman" w:eastAsia="Times New Roman"/>
          <w:color w:val="auto"/>
          <w:spacing w:val="0"/>
          <w:position w:val="0"/>
          <w:sz w:val="24"/>
          <w:shd w:fill="auto" w:val="clear"/>
        </w:rPr>
        <w:tab/>
        <w:t xml:space="preserve">232</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3.4.7</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СЛИВО ПОЛЕ</w:t>
      </w:r>
      <w:r>
        <w:rPr>
          <w:rFonts w:ascii="Times New Roman" w:hAnsi="Times New Roman" w:cs="Times New Roman" w:eastAsia="Times New Roman"/>
          <w:color w:val="auto"/>
          <w:spacing w:val="0"/>
          <w:position w:val="0"/>
          <w:sz w:val="24"/>
          <w:shd w:fill="auto" w:val="clear"/>
        </w:rPr>
        <w:tab/>
        <w:t xml:space="preserve">235</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3.4.8</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ЦЕНОВО</w:t>
      </w:r>
      <w:r>
        <w:rPr>
          <w:rFonts w:ascii="Times New Roman" w:hAnsi="Times New Roman" w:cs="Times New Roman" w:eastAsia="Times New Roman"/>
          <w:color w:val="auto"/>
          <w:spacing w:val="0"/>
          <w:position w:val="0"/>
          <w:sz w:val="24"/>
          <w:shd w:fill="auto" w:val="clear"/>
        </w:rPr>
        <w:tab/>
        <w:t xml:space="preserve">237</w:t>
      </w:r>
    </w:p>
    <w:p>
      <w:pPr>
        <w:tabs>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АНАЛИЗ НА ПОТРЕБНОСТИТЕ В ОБЛАСТ РУСЕ (обобщено)</w:t>
      </w:r>
      <w:r>
        <w:rPr>
          <w:rFonts w:ascii="Times New Roman" w:hAnsi="Times New Roman" w:cs="Times New Roman" w:eastAsia="Times New Roman"/>
          <w:color w:val="auto"/>
          <w:spacing w:val="0"/>
          <w:position w:val="0"/>
          <w:sz w:val="24"/>
          <w:shd w:fill="auto" w:val="clear"/>
        </w:rPr>
        <w:tab/>
        <w:t xml:space="preserve">239</w:t>
      </w:r>
    </w:p>
    <w:p>
      <w:pPr>
        <w:tabs>
          <w:tab w:val="left" w:pos="88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3.5</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ОБЛАСТ СИЛИСТРА</w:t>
      </w:r>
      <w:r>
        <w:rPr>
          <w:rFonts w:ascii="Times New Roman" w:hAnsi="Times New Roman" w:cs="Times New Roman" w:eastAsia="Times New Roman"/>
          <w:color w:val="auto"/>
          <w:spacing w:val="0"/>
          <w:position w:val="0"/>
          <w:sz w:val="24"/>
          <w:shd w:fill="auto" w:val="clear"/>
        </w:rPr>
        <w:tab/>
        <w:t xml:space="preserve">245</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3.5.1</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АЛФАТАР</w:t>
      </w:r>
      <w:r>
        <w:rPr>
          <w:rFonts w:ascii="Times New Roman" w:hAnsi="Times New Roman" w:cs="Times New Roman" w:eastAsia="Times New Roman"/>
          <w:color w:val="auto"/>
          <w:spacing w:val="0"/>
          <w:position w:val="0"/>
          <w:sz w:val="24"/>
          <w:shd w:fill="auto" w:val="clear"/>
        </w:rPr>
        <w:tab/>
        <w:t xml:space="preserve">245</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3.5.2</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ГЛАВИНИЦА</w:t>
      </w:r>
      <w:r>
        <w:rPr>
          <w:rFonts w:ascii="Times New Roman" w:hAnsi="Times New Roman" w:cs="Times New Roman" w:eastAsia="Times New Roman"/>
          <w:color w:val="auto"/>
          <w:spacing w:val="0"/>
          <w:position w:val="0"/>
          <w:sz w:val="24"/>
          <w:shd w:fill="auto" w:val="clear"/>
        </w:rPr>
        <w:tab/>
        <w:t xml:space="preserve">247</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3.5.3</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ДУЛОВО</w:t>
      </w:r>
      <w:r>
        <w:rPr>
          <w:rFonts w:ascii="Times New Roman" w:hAnsi="Times New Roman" w:cs="Times New Roman" w:eastAsia="Times New Roman"/>
          <w:color w:val="auto"/>
          <w:spacing w:val="0"/>
          <w:position w:val="0"/>
          <w:sz w:val="24"/>
          <w:shd w:fill="auto" w:val="clear"/>
        </w:rPr>
        <w:tab/>
        <w:t xml:space="preserve">250</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3.5.4</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КАЙНАРДЖА</w:t>
      </w:r>
      <w:r>
        <w:rPr>
          <w:rFonts w:ascii="Times New Roman" w:hAnsi="Times New Roman" w:cs="Times New Roman" w:eastAsia="Times New Roman"/>
          <w:color w:val="auto"/>
          <w:spacing w:val="0"/>
          <w:position w:val="0"/>
          <w:sz w:val="24"/>
          <w:shd w:fill="auto" w:val="clear"/>
        </w:rPr>
        <w:tab/>
        <w:t xml:space="preserve">252</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3.5.5</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СИЛИСТРА</w:t>
      </w:r>
      <w:r>
        <w:rPr>
          <w:rFonts w:ascii="Times New Roman" w:hAnsi="Times New Roman" w:cs="Times New Roman" w:eastAsia="Times New Roman"/>
          <w:color w:val="auto"/>
          <w:spacing w:val="0"/>
          <w:position w:val="0"/>
          <w:sz w:val="24"/>
          <w:shd w:fill="auto" w:val="clear"/>
        </w:rPr>
        <w:tab/>
        <w:t xml:space="preserve">254</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3.5.6</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СИТОВО</w:t>
      </w:r>
      <w:r>
        <w:rPr>
          <w:rFonts w:ascii="Times New Roman" w:hAnsi="Times New Roman" w:cs="Times New Roman" w:eastAsia="Times New Roman"/>
          <w:color w:val="auto"/>
          <w:spacing w:val="0"/>
          <w:position w:val="0"/>
          <w:sz w:val="24"/>
          <w:shd w:fill="auto" w:val="clear"/>
        </w:rPr>
        <w:tab/>
        <w:t xml:space="preserve">256</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3.5.7</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ТУТРАКАН</w:t>
      </w:r>
      <w:r>
        <w:rPr>
          <w:rFonts w:ascii="Times New Roman" w:hAnsi="Times New Roman" w:cs="Times New Roman" w:eastAsia="Times New Roman"/>
          <w:color w:val="auto"/>
          <w:spacing w:val="0"/>
          <w:position w:val="0"/>
          <w:sz w:val="24"/>
          <w:shd w:fill="auto" w:val="clear"/>
        </w:rPr>
        <w:tab/>
        <w:t xml:space="preserve">258</w:t>
      </w:r>
    </w:p>
    <w:p>
      <w:pPr>
        <w:tabs>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АНАЛИЗ НА ПОТРЕБНОСТИТЕ В ОБЛАСТ СИЛИСТРА (обобщено)</w:t>
      </w:r>
      <w:r>
        <w:rPr>
          <w:rFonts w:ascii="Times New Roman" w:hAnsi="Times New Roman" w:cs="Times New Roman" w:eastAsia="Times New Roman"/>
          <w:color w:val="auto"/>
          <w:spacing w:val="0"/>
          <w:position w:val="0"/>
          <w:sz w:val="24"/>
          <w:shd w:fill="auto" w:val="clear"/>
        </w:rPr>
        <w:tab/>
        <w:t xml:space="preserve">260</w:t>
      </w:r>
    </w:p>
    <w:p>
      <w:pPr>
        <w:tabs>
          <w:tab w:val="left" w:pos="480" w:leader="none"/>
          <w:tab w:val="right" w:pos="9060" w:leader="dot"/>
        </w:tabs>
        <w:spacing w:before="0" w:after="60" w:line="240"/>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4</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СЕВЕРОИЗТОЧЕН РЕГИОН</w:t>
      </w:r>
      <w:r>
        <w:rPr>
          <w:rFonts w:ascii="Times New Roman" w:hAnsi="Times New Roman" w:cs="Times New Roman" w:eastAsia="Times New Roman"/>
          <w:color w:val="auto"/>
          <w:spacing w:val="0"/>
          <w:position w:val="0"/>
          <w:sz w:val="24"/>
          <w:shd w:fill="auto" w:val="clear"/>
        </w:rPr>
        <w:tab/>
        <w:t xml:space="preserve">266</w:t>
      </w:r>
    </w:p>
    <w:p>
      <w:pPr>
        <w:tabs>
          <w:tab w:val="left" w:pos="88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4.1</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ОБЛАСТ ВАРНА</w:t>
      </w:r>
      <w:r>
        <w:rPr>
          <w:rFonts w:ascii="Times New Roman" w:hAnsi="Times New Roman" w:cs="Times New Roman" w:eastAsia="Times New Roman"/>
          <w:color w:val="auto"/>
          <w:spacing w:val="0"/>
          <w:position w:val="0"/>
          <w:sz w:val="24"/>
          <w:shd w:fill="auto" w:val="clear"/>
        </w:rPr>
        <w:tab/>
        <w:t xml:space="preserve">266</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4.1.1</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АВРЕН</w:t>
      </w:r>
      <w:r>
        <w:rPr>
          <w:rFonts w:ascii="Times New Roman" w:hAnsi="Times New Roman" w:cs="Times New Roman" w:eastAsia="Times New Roman"/>
          <w:color w:val="auto"/>
          <w:spacing w:val="0"/>
          <w:position w:val="0"/>
          <w:sz w:val="24"/>
          <w:shd w:fill="auto" w:val="clear"/>
        </w:rPr>
        <w:tab/>
        <w:t xml:space="preserve">266</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4.1.2</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АКСАКОВО</w:t>
      </w:r>
      <w:r>
        <w:rPr>
          <w:rFonts w:ascii="Times New Roman" w:hAnsi="Times New Roman" w:cs="Times New Roman" w:eastAsia="Times New Roman"/>
          <w:color w:val="auto"/>
          <w:spacing w:val="0"/>
          <w:position w:val="0"/>
          <w:sz w:val="24"/>
          <w:shd w:fill="auto" w:val="clear"/>
        </w:rPr>
        <w:tab/>
        <w:t xml:space="preserve">267</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4.1.3</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БЕЛОСЛАВ</w:t>
      </w:r>
      <w:r>
        <w:rPr>
          <w:rFonts w:ascii="Times New Roman" w:hAnsi="Times New Roman" w:cs="Times New Roman" w:eastAsia="Times New Roman"/>
          <w:color w:val="auto"/>
          <w:spacing w:val="0"/>
          <w:position w:val="0"/>
          <w:sz w:val="24"/>
          <w:shd w:fill="auto" w:val="clear"/>
        </w:rPr>
        <w:tab/>
        <w:t xml:space="preserve">269</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4.1.4</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БЯЛА</w:t>
      </w:r>
      <w:r>
        <w:rPr>
          <w:rFonts w:ascii="Times New Roman" w:hAnsi="Times New Roman" w:cs="Times New Roman" w:eastAsia="Times New Roman"/>
          <w:color w:val="auto"/>
          <w:spacing w:val="0"/>
          <w:position w:val="0"/>
          <w:sz w:val="24"/>
          <w:shd w:fill="auto" w:val="clear"/>
        </w:rPr>
        <w:tab/>
        <w:t xml:space="preserve">272</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4.1.5</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ВАРНА</w:t>
      </w:r>
      <w:r>
        <w:rPr>
          <w:rFonts w:ascii="Times New Roman" w:hAnsi="Times New Roman" w:cs="Times New Roman" w:eastAsia="Times New Roman"/>
          <w:color w:val="auto"/>
          <w:spacing w:val="0"/>
          <w:position w:val="0"/>
          <w:sz w:val="24"/>
          <w:shd w:fill="auto" w:val="clear"/>
        </w:rPr>
        <w:tab/>
        <w:t xml:space="preserve">273</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4.1.6</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ВЕТРИНО</w:t>
      </w:r>
      <w:r>
        <w:rPr>
          <w:rFonts w:ascii="Times New Roman" w:hAnsi="Times New Roman" w:cs="Times New Roman" w:eastAsia="Times New Roman"/>
          <w:color w:val="auto"/>
          <w:spacing w:val="0"/>
          <w:position w:val="0"/>
          <w:sz w:val="24"/>
          <w:shd w:fill="auto" w:val="clear"/>
        </w:rPr>
        <w:tab/>
        <w:t xml:space="preserve">276</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4.1.7</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ВЪЛЧИ ДОЛ</w:t>
      </w:r>
      <w:r>
        <w:rPr>
          <w:rFonts w:ascii="Times New Roman" w:hAnsi="Times New Roman" w:cs="Times New Roman" w:eastAsia="Times New Roman"/>
          <w:color w:val="auto"/>
          <w:spacing w:val="0"/>
          <w:position w:val="0"/>
          <w:sz w:val="24"/>
          <w:shd w:fill="auto" w:val="clear"/>
        </w:rPr>
        <w:tab/>
        <w:t xml:space="preserve">278</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4.1.8</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ДЕВНЯ</w:t>
      </w:r>
      <w:r>
        <w:rPr>
          <w:rFonts w:ascii="Times New Roman" w:hAnsi="Times New Roman" w:cs="Times New Roman" w:eastAsia="Times New Roman"/>
          <w:color w:val="auto"/>
          <w:spacing w:val="0"/>
          <w:position w:val="0"/>
          <w:sz w:val="24"/>
          <w:shd w:fill="auto" w:val="clear"/>
        </w:rPr>
        <w:tab/>
        <w:t xml:space="preserve">280</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4.1.9</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ДОЛНИ ЧИФЛИК</w:t>
      </w:r>
      <w:r>
        <w:rPr>
          <w:rFonts w:ascii="Times New Roman" w:hAnsi="Times New Roman" w:cs="Times New Roman" w:eastAsia="Times New Roman"/>
          <w:color w:val="auto"/>
          <w:spacing w:val="0"/>
          <w:position w:val="0"/>
          <w:sz w:val="24"/>
          <w:shd w:fill="auto" w:val="clear"/>
        </w:rPr>
        <w:tab/>
        <w:t xml:space="preserve">281</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4.1.10</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ДЪЛГОПОЛ</w:t>
      </w:r>
      <w:r>
        <w:rPr>
          <w:rFonts w:ascii="Times New Roman" w:hAnsi="Times New Roman" w:cs="Times New Roman" w:eastAsia="Times New Roman"/>
          <w:color w:val="auto"/>
          <w:spacing w:val="0"/>
          <w:position w:val="0"/>
          <w:sz w:val="24"/>
          <w:shd w:fill="auto" w:val="clear"/>
        </w:rPr>
        <w:tab/>
        <w:t xml:space="preserve">283</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i/>
          <w:color w:val="0000FF"/>
          <w:spacing w:val="0"/>
          <w:position w:val="0"/>
          <w:sz w:val="24"/>
          <w:u w:val="single"/>
          <w:shd w:fill="auto" w:val="clear"/>
        </w:rPr>
        <w:t xml:space="preserve">4.1.11</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ПРОВАДИЯ</w:t>
      </w:r>
      <w:r>
        <w:rPr>
          <w:rFonts w:ascii="Times New Roman" w:hAnsi="Times New Roman" w:cs="Times New Roman" w:eastAsia="Times New Roman"/>
          <w:color w:val="auto"/>
          <w:spacing w:val="0"/>
          <w:position w:val="0"/>
          <w:sz w:val="24"/>
          <w:shd w:fill="auto" w:val="clear"/>
        </w:rPr>
        <w:tab/>
        <w:t xml:space="preserve">285</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4.1.12</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СУВОРОВО</w:t>
      </w:r>
      <w:r>
        <w:rPr>
          <w:rFonts w:ascii="Times New Roman" w:hAnsi="Times New Roman" w:cs="Times New Roman" w:eastAsia="Times New Roman"/>
          <w:color w:val="auto"/>
          <w:spacing w:val="0"/>
          <w:position w:val="0"/>
          <w:sz w:val="24"/>
          <w:shd w:fill="auto" w:val="clear"/>
        </w:rPr>
        <w:tab/>
        <w:t xml:space="preserve">288</w:t>
      </w:r>
    </w:p>
    <w:p>
      <w:pPr>
        <w:tabs>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АНАЛИЗ НА ПОТРЕБНОСТИТЕ В ОБЛАСТ ВАРНА (обобщено)</w:t>
      </w:r>
      <w:r>
        <w:rPr>
          <w:rFonts w:ascii="Times New Roman" w:hAnsi="Times New Roman" w:cs="Times New Roman" w:eastAsia="Times New Roman"/>
          <w:color w:val="auto"/>
          <w:spacing w:val="0"/>
          <w:position w:val="0"/>
          <w:sz w:val="24"/>
          <w:shd w:fill="auto" w:val="clear"/>
        </w:rPr>
        <w:tab/>
        <w:t xml:space="preserve">289</w:t>
      </w:r>
    </w:p>
    <w:p>
      <w:pPr>
        <w:tabs>
          <w:tab w:val="left" w:pos="88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4.2</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ОБЛАСТ ДОБРИЧ</w:t>
      </w:r>
      <w:r>
        <w:rPr>
          <w:rFonts w:ascii="Times New Roman" w:hAnsi="Times New Roman" w:cs="Times New Roman" w:eastAsia="Times New Roman"/>
          <w:color w:val="auto"/>
          <w:spacing w:val="0"/>
          <w:position w:val="0"/>
          <w:sz w:val="24"/>
          <w:shd w:fill="auto" w:val="clear"/>
        </w:rPr>
        <w:tab/>
        <w:t xml:space="preserve">295</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4.2.1</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БАЛЧИК</w:t>
      </w:r>
      <w:r>
        <w:rPr>
          <w:rFonts w:ascii="Times New Roman" w:hAnsi="Times New Roman" w:cs="Times New Roman" w:eastAsia="Times New Roman"/>
          <w:color w:val="auto"/>
          <w:spacing w:val="0"/>
          <w:position w:val="0"/>
          <w:sz w:val="24"/>
          <w:shd w:fill="auto" w:val="clear"/>
        </w:rPr>
        <w:tab/>
        <w:t xml:space="preserve">295</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4.2.2</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ГЕНЕРАЛ ТОШЕВО</w:t>
      </w:r>
      <w:r>
        <w:rPr>
          <w:rFonts w:ascii="Times New Roman" w:hAnsi="Times New Roman" w:cs="Times New Roman" w:eastAsia="Times New Roman"/>
          <w:color w:val="auto"/>
          <w:spacing w:val="0"/>
          <w:position w:val="0"/>
          <w:sz w:val="24"/>
          <w:shd w:fill="auto" w:val="clear"/>
        </w:rPr>
        <w:tab/>
        <w:t xml:space="preserve">297</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4.2.3</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ДОБРИЧКА</w:t>
      </w:r>
      <w:r>
        <w:rPr>
          <w:rFonts w:ascii="Times New Roman" w:hAnsi="Times New Roman" w:cs="Times New Roman" w:eastAsia="Times New Roman"/>
          <w:color w:val="auto"/>
          <w:spacing w:val="0"/>
          <w:position w:val="0"/>
          <w:sz w:val="24"/>
          <w:shd w:fill="auto" w:val="clear"/>
        </w:rPr>
        <w:tab/>
        <w:t xml:space="preserve">298</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4.2.4</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ДОБРИЧ-ГРАД</w:t>
      </w:r>
      <w:r>
        <w:rPr>
          <w:rFonts w:ascii="Times New Roman" w:hAnsi="Times New Roman" w:cs="Times New Roman" w:eastAsia="Times New Roman"/>
          <w:color w:val="auto"/>
          <w:spacing w:val="0"/>
          <w:position w:val="0"/>
          <w:sz w:val="24"/>
          <w:shd w:fill="auto" w:val="clear"/>
        </w:rPr>
        <w:tab/>
        <w:t xml:space="preserve">300</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4.2.5</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КАВАРНА</w:t>
      </w:r>
      <w:r>
        <w:rPr>
          <w:rFonts w:ascii="Times New Roman" w:hAnsi="Times New Roman" w:cs="Times New Roman" w:eastAsia="Times New Roman"/>
          <w:color w:val="auto"/>
          <w:spacing w:val="0"/>
          <w:position w:val="0"/>
          <w:sz w:val="24"/>
          <w:shd w:fill="auto" w:val="clear"/>
        </w:rPr>
        <w:tab/>
        <w:t xml:space="preserve">303</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4.2.6</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КРУШАРИ</w:t>
      </w:r>
      <w:r>
        <w:rPr>
          <w:rFonts w:ascii="Times New Roman" w:hAnsi="Times New Roman" w:cs="Times New Roman" w:eastAsia="Times New Roman"/>
          <w:color w:val="auto"/>
          <w:spacing w:val="0"/>
          <w:position w:val="0"/>
          <w:sz w:val="24"/>
          <w:shd w:fill="auto" w:val="clear"/>
        </w:rPr>
        <w:tab/>
        <w:t xml:space="preserve">305</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4.2.7</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ТЕРВЕЛ</w:t>
      </w:r>
      <w:r>
        <w:rPr>
          <w:rFonts w:ascii="Times New Roman" w:hAnsi="Times New Roman" w:cs="Times New Roman" w:eastAsia="Times New Roman"/>
          <w:color w:val="auto"/>
          <w:spacing w:val="0"/>
          <w:position w:val="0"/>
          <w:sz w:val="24"/>
          <w:shd w:fill="auto" w:val="clear"/>
        </w:rPr>
        <w:tab/>
        <w:t xml:space="preserve">306</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4.2.8</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ШАБЛА</w:t>
      </w:r>
      <w:r>
        <w:rPr>
          <w:rFonts w:ascii="Times New Roman" w:hAnsi="Times New Roman" w:cs="Times New Roman" w:eastAsia="Times New Roman"/>
          <w:color w:val="auto"/>
          <w:spacing w:val="0"/>
          <w:position w:val="0"/>
          <w:sz w:val="24"/>
          <w:shd w:fill="auto" w:val="clear"/>
        </w:rPr>
        <w:tab/>
        <w:t xml:space="preserve">308</w:t>
      </w:r>
    </w:p>
    <w:p>
      <w:pPr>
        <w:tabs>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АНАЛИЗ НА ПОТРЕБНОСТИТЕ В ОБЛАСТ ДОБРИЧ (обобщено)</w:t>
      </w:r>
      <w:r>
        <w:rPr>
          <w:rFonts w:ascii="Times New Roman" w:hAnsi="Times New Roman" w:cs="Times New Roman" w:eastAsia="Times New Roman"/>
          <w:color w:val="auto"/>
          <w:spacing w:val="0"/>
          <w:position w:val="0"/>
          <w:sz w:val="24"/>
          <w:shd w:fill="auto" w:val="clear"/>
        </w:rPr>
        <w:tab/>
        <w:t xml:space="preserve">310</w:t>
      </w:r>
    </w:p>
    <w:p>
      <w:pPr>
        <w:tabs>
          <w:tab w:val="left" w:pos="88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4.3</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ОБЛАСТ ШУМЕН</w:t>
      </w:r>
      <w:r>
        <w:rPr>
          <w:rFonts w:ascii="Times New Roman" w:hAnsi="Times New Roman" w:cs="Times New Roman" w:eastAsia="Times New Roman"/>
          <w:color w:val="auto"/>
          <w:spacing w:val="0"/>
          <w:position w:val="0"/>
          <w:sz w:val="24"/>
          <w:shd w:fill="auto" w:val="clear"/>
        </w:rPr>
        <w:tab/>
        <w:t xml:space="preserve">316</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4.3.1</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ВЕЛИКИ ПРЕСЛАВ</w:t>
      </w:r>
      <w:r>
        <w:rPr>
          <w:rFonts w:ascii="Times New Roman" w:hAnsi="Times New Roman" w:cs="Times New Roman" w:eastAsia="Times New Roman"/>
          <w:color w:val="auto"/>
          <w:spacing w:val="0"/>
          <w:position w:val="0"/>
          <w:sz w:val="24"/>
          <w:shd w:fill="auto" w:val="clear"/>
        </w:rPr>
        <w:tab/>
        <w:t xml:space="preserve">316</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4.3.2</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ВЕНЕЦ</w:t>
      </w:r>
      <w:r>
        <w:rPr>
          <w:rFonts w:ascii="Times New Roman" w:hAnsi="Times New Roman" w:cs="Times New Roman" w:eastAsia="Times New Roman"/>
          <w:color w:val="auto"/>
          <w:spacing w:val="0"/>
          <w:position w:val="0"/>
          <w:sz w:val="24"/>
          <w:shd w:fill="auto" w:val="clear"/>
        </w:rPr>
        <w:tab/>
        <w:t xml:space="preserve">318</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4.3.3</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ВЪРБИЦА</w:t>
      </w:r>
      <w:r>
        <w:rPr>
          <w:rFonts w:ascii="Times New Roman" w:hAnsi="Times New Roman" w:cs="Times New Roman" w:eastAsia="Times New Roman"/>
          <w:color w:val="auto"/>
          <w:spacing w:val="0"/>
          <w:position w:val="0"/>
          <w:sz w:val="24"/>
          <w:shd w:fill="auto" w:val="clear"/>
        </w:rPr>
        <w:tab/>
        <w:t xml:space="preserve">320</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4.3.4</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КАОЛИНОВО</w:t>
      </w:r>
      <w:r>
        <w:rPr>
          <w:rFonts w:ascii="Times New Roman" w:hAnsi="Times New Roman" w:cs="Times New Roman" w:eastAsia="Times New Roman"/>
          <w:color w:val="auto"/>
          <w:spacing w:val="0"/>
          <w:position w:val="0"/>
          <w:sz w:val="24"/>
          <w:shd w:fill="auto" w:val="clear"/>
        </w:rPr>
        <w:tab/>
        <w:t xml:space="preserve">321</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4.3.5</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КАСПИЧАН</w:t>
      </w:r>
      <w:r>
        <w:rPr>
          <w:rFonts w:ascii="Times New Roman" w:hAnsi="Times New Roman" w:cs="Times New Roman" w:eastAsia="Times New Roman"/>
          <w:color w:val="auto"/>
          <w:spacing w:val="0"/>
          <w:position w:val="0"/>
          <w:sz w:val="24"/>
          <w:shd w:fill="auto" w:val="clear"/>
        </w:rPr>
        <w:tab/>
        <w:t xml:space="preserve">323</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4.3.6</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НИКОЛА КОЗЛЕВО</w:t>
      </w:r>
      <w:r>
        <w:rPr>
          <w:rFonts w:ascii="Times New Roman" w:hAnsi="Times New Roman" w:cs="Times New Roman" w:eastAsia="Times New Roman"/>
          <w:color w:val="auto"/>
          <w:spacing w:val="0"/>
          <w:position w:val="0"/>
          <w:sz w:val="24"/>
          <w:shd w:fill="auto" w:val="clear"/>
        </w:rPr>
        <w:tab/>
        <w:t xml:space="preserve">325</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4.3.7</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НОВИ ПАЗАР</w:t>
      </w:r>
      <w:r>
        <w:rPr>
          <w:rFonts w:ascii="Times New Roman" w:hAnsi="Times New Roman" w:cs="Times New Roman" w:eastAsia="Times New Roman"/>
          <w:color w:val="auto"/>
          <w:spacing w:val="0"/>
          <w:position w:val="0"/>
          <w:sz w:val="24"/>
          <w:shd w:fill="auto" w:val="clear"/>
        </w:rPr>
        <w:tab/>
        <w:t xml:space="preserve">327</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4.3.8</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СМЯДОВО</w:t>
      </w:r>
      <w:r>
        <w:rPr>
          <w:rFonts w:ascii="Times New Roman" w:hAnsi="Times New Roman" w:cs="Times New Roman" w:eastAsia="Times New Roman"/>
          <w:color w:val="auto"/>
          <w:spacing w:val="0"/>
          <w:position w:val="0"/>
          <w:sz w:val="24"/>
          <w:shd w:fill="auto" w:val="clear"/>
        </w:rPr>
        <w:tab/>
        <w:t xml:space="preserve">328</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4.3.9</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ХИТРИНО</w:t>
      </w:r>
      <w:r>
        <w:rPr>
          <w:rFonts w:ascii="Times New Roman" w:hAnsi="Times New Roman" w:cs="Times New Roman" w:eastAsia="Times New Roman"/>
          <w:color w:val="auto"/>
          <w:spacing w:val="0"/>
          <w:position w:val="0"/>
          <w:sz w:val="24"/>
          <w:shd w:fill="auto" w:val="clear"/>
        </w:rPr>
        <w:tab/>
        <w:t xml:space="preserve">330</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4.3.10</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ШУМЕН</w:t>
      </w:r>
      <w:r>
        <w:rPr>
          <w:rFonts w:ascii="Times New Roman" w:hAnsi="Times New Roman" w:cs="Times New Roman" w:eastAsia="Times New Roman"/>
          <w:color w:val="auto"/>
          <w:spacing w:val="0"/>
          <w:position w:val="0"/>
          <w:sz w:val="24"/>
          <w:shd w:fill="auto" w:val="clear"/>
        </w:rPr>
        <w:tab/>
        <w:t xml:space="preserve">332</w:t>
      </w:r>
    </w:p>
    <w:p>
      <w:pPr>
        <w:tabs>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АНАЛИЗ НА ПОТРЕБНОСТИТЕ В ОБЛАСТ ШУМЕН (обобщено)</w:t>
      </w:r>
      <w:r>
        <w:rPr>
          <w:rFonts w:ascii="Times New Roman" w:hAnsi="Times New Roman" w:cs="Times New Roman" w:eastAsia="Times New Roman"/>
          <w:color w:val="auto"/>
          <w:spacing w:val="0"/>
          <w:position w:val="0"/>
          <w:sz w:val="24"/>
          <w:shd w:fill="auto" w:val="clear"/>
        </w:rPr>
        <w:tab/>
        <w:t xml:space="preserve">335</w:t>
      </w:r>
    </w:p>
    <w:p>
      <w:pPr>
        <w:tabs>
          <w:tab w:val="left" w:pos="88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4.4</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ОБЛАСТ ТЪРГОВИЩЕ</w:t>
      </w:r>
      <w:r>
        <w:rPr>
          <w:rFonts w:ascii="Times New Roman" w:hAnsi="Times New Roman" w:cs="Times New Roman" w:eastAsia="Times New Roman"/>
          <w:color w:val="auto"/>
          <w:spacing w:val="0"/>
          <w:position w:val="0"/>
          <w:sz w:val="24"/>
          <w:shd w:fill="auto" w:val="clear"/>
        </w:rPr>
        <w:tab/>
        <w:t xml:space="preserve">340</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4.4.1</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АНТОНОВО</w:t>
      </w:r>
      <w:r>
        <w:rPr>
          <w:rFonts w:ascii="Times New Roman" w:hAnsi="Times New Roman" w:cs="Times New Roman" w:eastAsia="Times New Roman"/>
          <w:color w:val="auto"/>
          <w:spacing w:val="0"/>
          <w:position w:val="0"/>
          <w:sz w:val="24"/>
          <w:shd w:fill="auto" w:val="clear"/>
        </w:rPr>
        <w:tab/>
        <w:t xml:space="preserve">340</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4.4.2</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ОМУРТАГ</w:t>
      </w:r>
      <w:r>
        <w:rPr>
          <w:rFonts w:ascii="Times New Roman" w:hAnsi="Times New Roman" w:cs="Times New Roman" w:eastAsia="Times New Roman"/>
          <w:color w:val="auto"/>
          <w:spacing w:val="0"/>
          <w:position w:val="0"/>
          <w:sz w:val="24"/>
          <w:shd w:fill="auto" w:val="clear"/>
        </w:rPr>
        <w:tab/>
        <w:t xml:space="preserve">342</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4.4.3</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ОПАКА</w:t>
      </w:r>
      <w:r>
        <w:rPr>
          <w:rFonts w:ascii="Times New Roman" w:hAnsi="Times New Roman" w:cs="Times New Roman" w:eastAsia="Times New Roman"/>
          <w:color w:val="auto"/>
          <w:spacing w:val="0"/>
          <w:position w:val="0"/>
          <w:sz w:val="24"/>
          <w:shd w:fill="auto" w:val="clear"/>
        </w:rPr>
        <w:tab/>
        <w:t xml:space="preserve">344</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4.4.4</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ПОПОВО</w:t>
      </w:r>
      <w:r>
        <w:rPr>
          <w:rFonts w:ascii="Times New Roman" w:hAnsi="Times New Roman" w:cs="Times New Roman" w:eastAsia="Times New Roman"/>
          <w:color w:val="auto"/>
          <w:spacing w:val="0"/>
          <w:position w:val="0"/>
          <w:sz w:val="24"/>
          <w:shd w:fill="auto" w:val="clear"/>
        </w:rPr>
        <w:tab/>
        <w:t xml:space="preserve">345</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4.4.5</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ТЪРГОВИЩЕ</w:t>
      </w:r>
      <w:r>
        <w:rPr>
          <w:rFonts w:ascii="Times New Roman" w:hAnsi="Times New Roman" w:cs="Times New Roman" w:eastAsia="Times New Roman"/>
          <w:color w:val="auto"/>
          <w:spacing w:val="0"/>
          <w:position w:val="0"/>
          <w:sz w:val="24"/>
          <w:shd w:fill="auto" w:val="clear"/>
        </w:rPr>
        <w:tab/>
        <w:t xml:space="preserve">347</w:t>
      </w:r>
    </w:p>
    <w:p>
      <w:pPr>
        <w:tabs>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АНАЛИЗ НА ПОТРЕБНОСТИТЕ В ОБЛАСТ ТЪРГОВИЩЕ (обобщено)</w:t>
      </w:r>
      <w:r>
        <w:rPr>
          <w:rFonts w:ascii="Times New Roman" w:hAnsi="Times New Roman" w:cs="Times New Roman" w:eastAsia="Times New Roman"/>
          <w:color w:val="auto"/>
          <w:spacing w:val="0"/>
          <w:position w:val="0"/>
          <w:sz w:val="24"/>
          <w:shd w:fill="auto" w:val="clear"/>
        </w:rPr>
        <w:tab/>
        <w:t xml:space="preserve">349</w:t>
      </w:r>
    </w:p>
    <w:p>
      <w:pPr>
        <w:tabs>
          <w:tab w:val="left" w:pos="480" w:leader="none"/>
          <w:tab w:val="right" w:pos="9060" w:leader="dot"/>
        </w:tabs>
        <w:spacing w:before="0" w:after="60" w:line="240"/>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5</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ЮГОИЗТОЧЕН РЕГИОН</w:t>
      </w:r>
      <w:r>
        <w:rPr>
          <w:rFonts w:ascii="Times New Roman" w:hAnsi="Times New Roman" w:cs="Times New Roman" w:eastAsia="Times New Roman"/>
          <w:color w:val="auto"/>
          <w:spacing w:val="0"/>
          <w:position w:val="0"/>
          <w:sz w:val="24"/>
          <w:shd w:fill="auto" w:val="clear"/>
        </w:rPr>
        <w:tab/>
        <w:t xml:space="preserve">355</w:t>
      </w:r>
    </w:p>
    <w:p>
      <w:pPr>
        <w:tabs>
          <w:tab w:val="left" w:pos="88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5.1</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ОБЛАСТ БУРГАС</w:t>
      </w:r>
      <w:r>
        <w:rPr>
          <w:rFonts w:ascii="Times New Roman" w:hAnsi="Times New Roman" w:cs="Times New Roman" w:eastAsia="Times New Roman"/>
          <w:color w:val="auto"/>
          <w:spacing w:val="0"/>
          <w:position w:val="0"/>
          <w:sz w:val="24"/>
          <w:shd w:fill="auto" w:val="clear"/>
        </w:rPr>
        <w:tab/>
        <w:t xml:space="preserve">355</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5.1.1</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АЙТОС</w:t>
      </w:r>
      <w:r>
        <w:rPr>
          <w:rFonts w:ascii="Times New Roman" w:hAnsi="Times New Roman" w:cs="Times New Roman" w:eastAsia="Times New Roman"/>
          <w:color w:val="auto"/>
          <w:spacing w:val="0"/>
          <w:position w:val="0"/>
          <w:sz w:val="24"/>
          <w:shd w:fill="auto" w:val="clear"/>
        </w:rPr>
        <w:tab/>
        <w:t xml:space="preserve">355</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5.1.2</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БУРГАС</w:t>
      </w:r>
      <w:r>
        <w:rPr>
          <w:rFonts w:ascii="Times New Roman" w:hAnsi="Times New Roman" w:cs="Times New Roman" w:eastAsia="Times New Roman"/>
          <w:color w:val="auto"/>
          <w:spacing w:val="0"/>
          <w:position w:val="0"/>
          <w:sz w:val="24"/>
          <w:shd w:fill="auto" w:val="clear"/>
        </w:rPr>
        <w:tab/>
        <w:t xml:space="preserve">357</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5.1.3</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КАМЕНО</w:t>
      </w:r>
      <w:r>
        <w:rPr>
          <w:rFonts w:ascii="Times New Roman" w:hAnsi="Times New Roman" w:cs="Times New Roman" w:eastAsia="Times New Roman"/>
          <w:color w:val="auto"/>
          <w:spacing w:val="0"/>
          <w:position w:val="0"/>
          <w:sz w:val="24"/>
          <w:shd w:fill="auto" w:val="clear"/>
        </w:rPr>
        <w:tab/>
        <w:t xml:space="preserve">360</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5.1.5</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МАЛКО ТЪРНОВО</w:t>
      </w:r>
      <w:r>
        <w:rPr>
          <w:rFonts w:ascii="Times New Roman" w:hAnsi="Times New Roman" w:cs="Times New Roman" w:eastAsia="Times New Roman"/>
          <w:color w:val="auto"/>
          <w:spacing w:val="0"/>
          <w:position w:val="0"/>
          <w:sz w:val="24"/>
          <w:shd w:fill="auto" w:val="clear"/>
        </w:rPr>
        <w:tab/>
        <w:t xml:space="preserve">364</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5.1.6</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НЕСЕБЪР</w:t>
      </w:r>
      <w:r>
        <w:rPr>
          <w:rFonts w:ascii="Times New Roman" w:hAnsi="Times New Roman" w:cs="Times New Roman" w:eastAsia="Times New Roman"/>
          <w:color w:val="auto"/>
          <w:spacing w:val="0"/>
          <w:position w:val="0"/>
          <w:sz w:val="24"/>
          <w:shd w:fill="auto" w:val="clear"/>
        </w:rPr>
        <w:tab/>
        <w:t xml:space="preserve">366</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5.1.7</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ПОМОРИЕ</w:t>
      </w:r>
      <w:r>
        <w:rPr>
          <w:rFonts w:ascii="Times New Roman" w:hAnsi="Times New Roman" w:cs="Times New Roman" w:eastAsia="Times New Roman"/>
          <w:color w:val="auto"/>
          <w:spacing w:val="0"/>
          <w:position w:val="0"/>
          <w:sz w:val="24"/>
          <w:shd w:fill="auto" w:val="clear"/>
        </w:rPr>
        <w:tab/>
        <w:t xml:space="preserve">368</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5.1.8</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ПРИМОРСКО</w:t>
      </w:r>
      <w:r>
        <w:rPr>
          <w:rFonts w:ascii="Times New Roman" w:hAnsi="Times New Roman" w:cs="Times New Roman" w:eastAsia="Times New Roman"/>
          <w:color w:val="auto"/>
          <w:spacing w:val="0"/>
          <w:position w:val="0"/>
          <w:sz w:val="24"/>
          <w:shd w:fill="auto" w:val="clear"/>
        </w:rPr>
        <w:tab/>
        <w:t xml:space="preserve">370</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5.1.9</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РУЕН</w:t>
      </w:r>
      <w:r>
        <w:rPr>
          <w:rFonts w:ascii="Times New Roman" w:hAnsi="Times New Roman" w:cs="Times New Roman" w:eastAsia="Times New Roman"/>
          <w:color w:val="auto"/>
          <w:spacing w:val="0"/>
          <w:position w:val="0"/>
          <w:sz w:val="24"/>
          <w:shd w:fill="auto" w:val="clear"/>
        </w:rPr>
        <w:tab/>
        <w:t xml:space="preserve">372</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5.1.10</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СОЗОПОЛ</w:t>
      </w:r>
      <w:r>
        <w:rPr>
          <w:rFonts w:ascii="Times New Roman" w:hAnsi="Times New Roman" w:cs="Times New Roman" w:eastAsia="Times New Roman"/>
          <w:color w:val="auto"/>
          <w:spacing w:val="0"/>
          <w:position w:val="0"/>
          <w:sz w:val="24"/>
          <w:shd w:fill="auto" w:val="clear"/>
        </w:rPr>
        <w:tab/>
        <w:t xml:space="preserve">374</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5.1.11</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СРЕДЕЦ</w:t>
      </w:r>
      <w:r>
        <w:rPr>
          <w:rFonts w:ascii="Times New Roman" w:hAnsi="Times New Roman" w:cs="Times New Roman" w:eastAsia="Times New Roman"/>
          <w:color w:val="auto"/>
          <w:spacing w:val="0"/>
          <w:position w:val="0"/>
          <w:sz w:val="24"/>
          <w:shd w:fill="auto" w:val="clear"/>
        </w:rPr>
        <w:tab/>
        <w:t xml:space="preserve">376</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5.1.12</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СУНГУРЛАРЕ</w:t>
      </w:r>
      <w:r>
        <w:rPr>
          <w:rFonts w:ascii="Times New Roman" w:hAnsi="Times New Roman" w:cs="Times New Roman" w:eastAsia="Times New Roman"/>
          <w:color w:val="auto"/>
          <w:spacing w:val="0"/>
          <w:position w:val="0"/>
          <w:sz w:val="24"/>
          <w:shd w:fill="auto" w:val="clear"/>
        </w:rPr>
        <w:tab/>
        <w:t xml:space="preserve">379</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5.1.13</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ЦАРЕВО</w:t>
      </w:r>
      <w:r>
        <w:rPr>
          <w:rFonts w:ascii="Times New Roman" w:hAnsi="Times New Roman" w:cs="Times New Roman" w:eastAsia="Times New Roman"/>
          <w:color w:val="auto"/>
          <w:spacing w:val="0"/>
          <w:position w:val="0"/>
          <w:sz w:val="24"/>
          <w:shd w:fill="auto" w:val="clear"/>
        </w:rPr>
        <w:tab/>
        <w:t xml:space="preserve">381</w:t>
      </w:r>
    </w:p>
    <w:p>
      <w:pPr>
        <w:tabs>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АНАЛИЗ НА ПОТРЕБНОСТИТЕ В ОБЛАСТ БУРГАС (обобщено)</w:t>
      </w:r>
      <w:r>
        <w:rPr>
          <w:rFonts w:ascii="Times New Roman" w:hAnsi="Times New Roman" w:cs="Times New Roman" w:eastAsia="Times New Roman"/>
          <w:color w:val="auto"/>
          <w:spacing w:val="0"/>
          <w:position w:val="0"/>
          <w:sz w:val="24"/>
          <w:shd w:fill="auto" w:val="clear"/>
        </w:rPr>
        <w:tab/>
        <w:t xml:space="preserve">383</w:t>
      </w:r>
    </w:p>
    <w:p>
      <w:pPr>
        <w:tabs>
          <w:tab w:val="left" w:pos="88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5.2</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ОБЛАСТ СЛИВЕН</w:t>
      </w:r>
      <w:r>
        <w:rPr>
          <w:rFonts w:ascii="Times New Roman" w:hAnsi="Times New Roman" w:cs="Times New Roman" w:eastAsia="Times New Roman"/>
          <w:color w:val="auto"/>
          <w:spacing w:val="0"/>
          <w:position w:val="0"/>
          <w:sz w:val="24"/>
          <w:shd w:fill="auto" w:val="clear"/>
        </w:rPr>
        <w:tab/>
        <w:t xml:space="preserve">388</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5.2.1</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КОТЕЛ</w:t>
      </w:r>
      <w:r>
        <w:rPr>
          <w:rFonts w:ascii="Times New Roman" w:hAnsi="Times New Roman" w:cs="Times New Roman" w:eastAsia="Times New Roman"/>
          <w:color w:val="auto"/>
          <w:spacing w:val="0"/>
          <w:position w:val="0"/>
          <w:sz w:val="24"/>
          <w:shd w:fill="auto" w:val="clear"/>
        </w:rPr>
        <w:tab/>
        <w:t xml:space="preserve">388</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5.2.2</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НОВА ЗАГОРА</w:t>
      </w:r>
      <w:r>
        <w:rPr>
          <w:rFonts w:ascii="Times New Roman" w:hAnsi="Times New Roman" w:cs="Times New Roman" w:eastAsia="Times New Roman"/>
          <w:color w:val="auto"/>
          <w:spacing w:val="0"/>
          <w:position w:val="0"/>
          <w:sz w:val="24"/>
          <w:shd w:fill="auto" w:val="clear"/>
        </w:rPr>
        <w:tab/>
        <w:t xml:space="preserve">390</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5.2.3</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СЛИВЕН</w:t>
      </w:r>
      <w:r>
        <w:rPr>
          <w:rFonts w:ascii="Times New Roman" w:hAnsi="Times New Roman" w:cs="Times New Roman" w:eastAsia="Times New Roman"/>
          <w:color w:val="auto"/>
          <w:spacing w:val="0"/>
          <w:position w:val="0"/>
          <w:sz w:val="24"/>
          <w:shd w:fill="auto" w:val="clear"/>
        </w:rPr>
        <w:tab/>
        <w:t xml:space="preserve">392</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5.2.4</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ТВЪРДИЦА</w:t>
      </w:r>
      <w:r>
        <w:rPr>
          <w:rFonts w:ascii="Times New Roman" w:hAnsi="Times New Roman" w:cs="Times New Roman" w:eastAsia="Times New Roman"/>
          <w:color w:val="auto"/>
          <w:spacing w:val="0"/>
          <w:position w:val="0"/>
          <w:sz w:val="24"/>
          <w:shd w:fill="auto" w:val="clear"/>
        </w:rPr>
        <w:tab/>
        <w:t xml:space="preserve">395</w:t>
      </w:r>
    </w:p>
    <w:p>
      <w:pPr>
        <w:tabs>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АНАЛИЗ НА ПОТРЕБНОСТИТЕ В ОБЛАСТ СЛИВЕН (обобщено)</w:t>
      </w:r>
      <w:r>
        <w:rPr>
          <w:rFonts w:ascii="Times New Roman" w:hAnsi="Times New Roman" w:cs="Times New Roman" w:eastAsia="Times New Roman"/>
          <w:color w:val="auto"/>
          <w:spacing w:val="0"/>
          <w:position w:val="0"/>
          <w:sz w:val="24"/>
          <w:shd w:fill="auto" w:val="clear"/>
        </w:rPr>
        <w:tab/>
        <w:t xml:space="preserve">396</w:t>
      </w:r>
    </w:p>
    <w:p>
      <w:pPr>
        <w:tabs>
          <w:tab w:val="left" w:pos="88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5.3</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ОБЛАСТ ЯМБОЛ</w:t>
      </w:r>
      <w:r>
        <w:rPr>
          <w:rFonts w:ascii="Times New Roman" w:hAnsi="Times New Roman" w:cs="Times New Roman" w:eastAsia="Times New Roman"/>
          <w:color w:val="auto"/>
          <w:spacing w:val="0"/>
          <w:position w:val="0"/>
          <w:sz w:val="24"/>
          <w:shd w:fill="auto" w:val="clear"/>
        </w:rPr>
        <w:tab/>
        <w:t xml:space="preserve">402</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5.3.1</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БОЛЯРОВО</w:t>
      </w:r>
      <w:r>
        <w:rPr>
          <w:rFonts w:ascii="Times New Roman" w:hAnsi="Times New Roman" w:cs="Times New Roman" w:eastAsia="Times New Roman"/>
          <w:color w:val="auto"/>
          <w:spacing w:val="0"/>
          <w:position w:val="0"/>
          <w:sz w:val="24"/>
          <w:shd w:fill="auto" w:val="clear"/>
        </w:rPr>
        <w:tab/>
        <w:t xml:space="preserve">402</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5.3.2</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ЕЛХОВО</w:t>
      </w:r>
      <w:r>
        <w:rPr>
          <w:rFonts w:ascii="Times New Roman" w:hAnsi="Times New Roman" w:cs="Times New Roman" w:eastAsia="Times New Roman"/>
          <w:color w:val="auto"/>
          <w:spacing w:val="0"/>
          <w:position w:val="0"/>
          <w:sz w:val="24"/>
          <w:shd w:fill="auto" w:val="clear"/>
        </w:rPr>
        <w:tab/>
        <w:t xml:space="preserve">404</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5.3.3</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СТРАЛДЖА</w:t>
      </w:r>
      <w:r>
        <w:rPr>
          <w:rFonts w:ascii="Times New Roman" w:hAnsi="Times New Roman" w:cs="Times New Roman" w:eastAsia="Times New Roman"/>
          <w:color w:val="auto"/>
          <w:spacing w:val="0"/>
          <w:position w:val="0"/>
          <w:sz w:val="24"/>
          <w:shd w:fill="auto" w:val="clear"/>
        </w:rPr>
        <w:tab/>
        <w:t xml:space="preserve">406</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5.3.4</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ТУНДЖА</w:t>
      </w:r>
      <w:r>
        <w:rPr>
          <w:rFonts w:ascii="Times New Roman" w:hAnsi="Times New Roman" w:cs="Times New Roman" w:eastAsia="Times New Roman"/>
          <w:color w:val="auto"/>
          <w:spacing w:val="0"/>
          <w:position w:val="0"/>
          <w:sz w:val="24"/>
          <w:shd w:fill="auto" w:val="clear"/>
        </w:rPr>
        <w:tab/>
        <w:t xml:space="preserve">408</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5.3.5</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ЯМБОЛ</w:t>
      </w:r>
      <w:r>
        <w:rPr>
          <w:rFonts w:ascii="Times New Roman" w:hAnsi="Times New Roman" w:cs="Times New Roman" w:eastAsia="Times New Roman"/>
          <w:color w:val="auto"/>
          <w:spacing w:val="0"/>
          <w:position w:val="0"/>
          <w:sz w:val="24"/>
          <w:shd w:fill="auto" w:val="clear"/>
        </w:rPr>
        <w:tab/>
        <w:t xml:space="preserve">411</w:t>
      </w:r>
    </w:p>
    <w:p>
      <w:pPr>
        <w:tabs>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АНАЛИЗ НА ПОТРЕБНОСТИТЕ В ОБЛАСТ ЯМБОЛ (обобщено)</w:t>
      </w:r>
      <w:r>
        <w:rPr>
          <w:rFonts w:ascii="Times New Roman" w:hAnsi="Times New Roman" w:cs="Times New Roman" w:eastAsia="Times New Roman"/>
          <w:color w:val="auto"/>
          <w:spacing w:val="0"/>
          <w:position w:val="0"/>
          <w:sz w:val="24"/>
          <w:shd w:fill="auto" w:val="clear"/>
        </w:rPr>
        <w:tab/>
        <w:t xml:space="preserve">413</w:t>
      </w:r>
    </w:p>
    <w:p>
      <w:pPr>
        <w:tabs>
          <w:tab w:val="left" w:pos="88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5.4</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ОБЛАСТ СТАРА ЗАГОРА</w:t>
      </w:r>
      <w:r>
        <w:rPr>
          <w:rFonts w:ascii="Times New Roman" w:hAnsi="Times New Roman" w:cs="Times New Roman" w:eastAsia="Times New Roman"/>
          <w:color w:val="auto"/>
          <w:spacing w:val="0"/>
          <w:position w:val="0"/>
          <w:sz w:val="24"/>
          <w:shd w:fill="auto" w:val="clear"/>
        </w:rPr>
        <w:tab/>
        <w:t xml:space="preserve">418</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5.4.1</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БРАТЯ ДАСКАЛОВИ</w:t>
      </w:r>
      <w:r>
        <w:rPr>
          <w:rFonts w:ascii="Times New Roman" w:hAnsi="Times New Roman" w:cs="Times New Roman" w:eastAsia="Times New Roman"/>
          <w:color w:val="auto"/>
          <w:spacing w:val="0"/>
          <w:position w:val="0"/>
          <w:sz w:val="24"/>
          <w:shd w:fill="auto" w:val="clear"/>
        </w:rPr>
        <w:tab/>
        <w:t xml:space="preserve">418</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5.4.2</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ГУРКОВО</w:t>
      </w:r>
      <w:r>
        <w:rPr>
          <w:rFonts w:ascii="Times New Roman" w:hAnsi="Times New Roman" w:cs="Times New Roman" w:eastAsia="Times New Roman"/>
          <w:color w:val="auto"/>
          <w:spacing w:val="0"/>
          <w:position w:val="0"/>
          <w:sz w:val="24"/>
          <w:shd w:fill="auto" w:val="clear"/>
        </w:rPr>
        <w:tab/>
        <w:t xml:space="preserve">420</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5.4.3</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ГЪЛЪБОВО</w:t>
      </w:r>
      <w:r>
        <w:rPr>
          <w:rFonts w:ascii="Times New Roman" w:hAnsi="Times New Roman" w:cs="Times New Roman" w:eastAsia="Times New Roman"/>
          <w:color w:val="auto"/>
          <w:spacing w:val="0"/>
          <w:position w:val="0"/>
          <w:sz w:val="24"/>
          <w:shd w:fill="auto" w:val="clear"/>
        </w:rPr>
        <w:tab/>
        <w:t xml:space="preserve">422</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5.4.4</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КАЗАНЛЪК</w:t>
      </w:r>
      <w:r>
        <w:rPr>
          <w:rFonts w:ascii="Times New Roman" w:hAnsi="Times New Roman" w:cs="Times New Roman" w:eastAsia="Times New Roman"/>
          <w:color w:val="auto"/>
          <w:spacing w:val="0"/>
          <w:position w:val="0"/>
          <w:sz w:val="24"/>
          <w:shd w:fill="auto" w:val="clear"/>
        </w:rPr>
        <w:tab/>
        <w:t xml:space="preserve">424</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5.4.5</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МЪГЛИЖ</w:t>
      </w:r>
      <w:r>
        <w:rPr>
          <w:rFonts w:ascii="Times New Roman" w:hAnsi="Times New Roman" w:cs="Times New Roman" w:eastAsia="Times New Roman"/>
          <w:color w:val="auto"/>
          <w:spacing w:val="0"/>
          <w:position w:val="0"/>
          <w:sz w:val="24"/>
          <w:shd w:fill="auto" w:val="clear"/>
        </w:rPr>
        <w:tab/>
        <w:t xml:space="preserve">426</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5.4.6</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НИКОЛАЕВО</w:t>
      </w:r>
      <w:r>
        <w:rPr>
          <w:rFonts w:ascii="Times New Roman" w:hAnsi="Times New Roman" w:cs="Times New Roman" w:eastAsia="Times New Roman"/>
          <w:color w:val="auto"/>
          <w:spacing w:val="0"/>
          <w:position w:val="0"/>
          <w:sz w:val="24"/>
          <w:shd w:fill="auto" w:val="clear"/>
        </w:rPr>
        <w:tab/>
        <w:t xml:space="preserve">428</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5.4.7</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ОПАН</w:t>
      </w:r>
      <w:r>
        <w:rPr>
          <w:rFonts w:ascii="Times New Roman" w:hAnsi="Times New Roman" w:cs="Times New Roman" w:eastAsia="Times New Roman"/>
          <w:color w:val="auto"/>
          <w:spacing w:val="0"/>
          <w:position w:val="0"/>
          <w:sz w:val="24"/>
          <w:shd w:fill="auto" w:val="clear"/>
        </w:rPr>
        <w:tab/>
        <w:t xml:space="preserve">430</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5.4.8</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ПАВЕЛ БАНЯ</w:t>
      </w:r>
      <w:r>
        <w:rPr>
          <w:rFonts w:ascii="Times New Roman" w:hAnsi="Times New Roman" w:cs="Times New Roman" w:eastAsia="Times New Roman"/>
          <w:color w:val="auto"/>
          <w:spacing w:val="0"/>
          <w:position w:val="0"/>
          <w:sz w:val="24"/>
          <w:shd w:fill="auto" w:val="clear"/>
        </w:rPr>
        <w:tab/>
        <w:t xml:space="preserve">431</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5.4.9</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РАДНЕВО</w:t>
      </w:r>
      <w:r>
        <w:rPr>
          <w:rFonts w:ascii="Times New Roman" w:hAnsi="Times New Roman" w:cs="Times New Roman" w:eastAsia="Times New Roman"/>
          <w:color w:val="auto"/>
          <w:spacing w:val="0"/>
          <w:position w:val="0"/>
          <w:sz w:val="24"/>
          <w:shd w:fill="auto" w:val="clear"/>
        </w:rPr>
        <w:tab/>
        <w:t xml:space="preserve">433</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5.4.10</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СТАРА ЗАГОРА</w:t>
      </w:r>
      <w:r>
        <w:rPr>
          <w:rFonts w:ascii="Times New Roman" w:hAnsi="Times New Roman" w:cs="Times New Roman" w:eastAsia="Times New Roman"/>
          <w:color w:val="auto"/>
          <w:spacing w:val="0"/>
          <w:position w:val="0"/>
          <w:sz w:val="24"/>
          <w:shd w:fill="auto" w:val="clear"/>
        </w:rPr>
        <w:tab/>
        <w:t xml:space="preserve">435</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5.4.11</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ЧИРПАН</w:t>
      </w:r>
      <w:r>
        <w:rPr>
          <w:rFonts w:ascii="Times New Roman" w:hAnsi="Times New Roman" w:cs="Times New Roman" w:eastAsia="Times New Roman"/>
          <w:color w:val="auto"/>
          <w:spacing w:val="0"/>
          <w:position w:val="0"/>
          <w:sz w:val="24"/>
          <w:shd w:fill="auto" w:val="clear"/>
        </w:rPr>
        <w:tab/>
        <w:t xml:space="preserve">438</w:t>
      </w:r>
    </w:p>
    <w:p>
      <w:pPr>
        <w:tabs>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АНАЛИЗ НА ПОТРЕБНОСТИТЕ В ОБЛАСТ СТАРА ЗАГОРА (обобщено)</w:t>
      </w:r>
      <w:r>
        <w:rPr>
          <w:rFonts w:ascii="Times New Roman" w:hAnsi="Times New Roman" w:cs="Times New Roman" w:eastAsia="Times New Roman"/>
          <w:color w:val="auto"/>
          <w:spacing w:val="0"/>
          <w:position w:val="0"/>
          <w:sz w:val="24"/>
          <w:shd w:fill="auto" w:val="clear"/>
        </w:rPr>
        <w:tab/>
        <w:t xml:space="preserve">440</w:t>
      </w:r>
    </w:p>
    <w:p>
      <w:pPr>
        <w:tabs>
          <w:tab w:val="left" w:pos="480" w:leader="none"/>
          <w:tab w:val="right" w:pos="9060" w:leader="dot"/>
        </w:tabs>
        <w:spacing w:before="0" w:after="60" w:line="240"/>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ЮГОЗАПАДЕН РАЙОН</w:t>
      </w:r>
      <w:r>
        <w:rPr>
          <w:rFonts w:ascii="Times New Roman" w:hAnsi="Times New Roman" w:cs="Times New Roman" w:eastAsia="Times New Roman"/>
          <w:color w:val="auto"/>
          <w:spacing w:val="0"/>
          <w:position w:val="0"/>
          <w:sz w:val="24"/>
          <w:shd w:fill="auto" w:val="clear"/>
        </w:rPr>
        <w:tab/>
        <w:t xml:space="preserve">445</w:t>
      </w:r>
    </w:p>
    <w:p>
      <w:pPr>
        <w:tabs>
          <w:tab w:val="left" w:pos="88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6.1</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ОБЛАСТ СОФИЯ-ГРАД</w:t>
      </w:r>
      <w:r>
        <w:rPr>
          <w:rFonts w:ascii="Times New Roman" w:hAnsi="Times New Roman" w:cs="Times New Roman" w:eastAsia="Times New Roman"/>
          <w:color w:val="auto"/>
          <w:spacing w:val="0"/>
          <w:position w:val="0"/>
          <w:sz w:val="24"/>
          <w:shd w:fill="auto" w:val="clear"/>
        </w:rPr>
        <w:tab/>
        <w:t xml:space="preserve">445</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6.1.1</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СТОЛИЧНА ОБЩИНА</w:t>
      </w:r>
      <w:r>
        <w:rPr>
          <w:rFonts w:ascii="Times New Roman" w:hAnsi="Times New Roman" w:cs="Times New Roman" w:eastAsia="Times New Roman"/>
          <w:color w:val="auto"/>
          <w:spacing w:val="0"/>
          <w:position w:val="0"/>
          <w:sz w:val="24"/>
          <w:shd w:fill="auto" w:val="clear"/>
        </w:rPr>
        <w:tab/>
        <w:t xml:space="preserve">445</w:t>
      </w:r>
    </w:p>
    <w:p>
      <w:pPr>
        <w:tabs>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Изводи за област София-град</w:t>
      </w:r>
      <w:r>
        <w:rPr>
          <w:rFonts w:ascii="Times New Roman" w:hAnsi="Times New Roman" w:cs="Times New Roman" w:eastAsia="Times New Roman"/>
          <w:color w:val="auto"/>
          <w:spacing w:val="0"/>
          <w:position w:val="0"/>
          <w:sz w:val="24"/>
          <w:shd w:fill="auto" w:val="clear"/>
        </w:rPr>
        <w:tab/>
        <w:t xml:space="preserve">451</w:t>
      </w:r>
    </w:p>
    <w:p>
      <w:pPr>
        <w:tabs>
          <w:tab w:val="left" w:pos="88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6.2</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ОБЛАСТ СОФИЯ</w:t>
      </w:r>
      <w:r>
        <w:rPr>
          <w:rFonts w:ascii="Times New Roman" w:hAnsi="Times New Roman" w:cs="Times New Roman" w:eastAsia="Times New Roman"/>
          <w:color w:val="auto"/>
          <w:spacing w:val="0"/>
          <w:position w:val="0"/>
          <w:sz w:val="24"/>
          <w:shd w:fill="auto" w:val="clear"/>
        </w:rPr>
        <w:tab/>
        <w:t xml:space="preserve">452</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6.2.1</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АНТОН</w:t>
      </w:r>
      <w:r>
        <w:rPr>
          <w:rFonts w:ascii="Times New Roman" w:hAnsi="Times New Roman" w:cs="Times New Roman" w:eastAsia="Times New Roman"/>
          <w:color w:val="auto"/>
          <w:spacing w:val="0"/>
          <w:position w:val="0"/>
          <w:sz w:val="24"/>
          <w:shd w:fill="auto" w:val="clear"/>
        </w:rPr>
        <w:tab/>
        <w:t xml:space="preserve">452</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6.2.2</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БОЖУРИЩЕ</w:t>
      </w:r>
      <w:r>
        <w:rPr>
          <w:rFonts w:ascii="Times New Roman" w:hAnsi="Times New Roman" w:cs="Times New Roman" w:eastAsia="Times New Roman"/>
          <w:color w:val="auto"/>
          <w:spacing w:val="0"/>
          <w:position w:val="0"/>
          <w:sz w:val="24"/>
          <w:shd w:fill="auto" w:val="clear"/>
        </w:rPr>
        <w:tab/>
        <w:t xml:space="preserve">454</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6.2.3</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БОТЕВГРАД</w:t>
      </w:r>
      <w:r>
        <w:rPr>
          <w:rFonts w:ascii="Times New Roman" w:hAnsi="Times New Roman" w:cs="Times New Roman" w:eastAsia="Times New Roman"/>
          <w:color w:val="auto"/>
          <w:spacing w:val="0"/>
          <w:position w:val="0"/>
          <w:sz w:val="24"/>
          <w:shd w:fill="auto" w:val="clear"/>
        </w:rPr>
        <w:tab/>
        <w:t xml:space="preserve">455</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6.2.4</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ГОДЕЧ</w:t>
      </w:r>
      <w:r>
        <w:rPr>
          <w:rFonts w:ascii="Times New Roman" w:hAnsi="Times New Roman" w:cs="Times New Roman" w:eastAsia="Times New Roman"/>
          <w:color w:val="auto"/>
          <w:spacing w:val="0"/>
          <w:position w:val="0"/>
          <w:sz w:val="24"/>
          <w:shd w:fill="auto" w:val="clear"/>
        </w:rPr>
        <w:tab/>
        <w:t xml:space="preserve">457</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6.2.5</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ГОРНА МАЛИНА</w:t>
      </w:r>
      <w:r>
        <w:rPr>
          <w:rFonts w:ascii="Times New Roman" w:hAnsi="Times New Roman" w:cs="Times New Roman" w:eastAsia="Times New Roman"/>
          <w:color w:val="auto"/>
          <w:spacing w:val="0"/>
          <w:position w:val="0"/>
          <w:sz w:val="24"/>
          <w:shd w:fill="auto" w:val="clear"/>
        </w:rPr>
        <w:tab/>
        <w:t xml:space="preserve">459</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6.2.6</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ДОЛНА БАНЯ</w:t>
      </w:r>
      <w:r>
        <w:rPr>
          <w:rFonts w:ascii="Times New Roman" w:hAnsi="Times New Roman" w:cs="Times New Roman" w:eastAsia="Times New Roman"/>
          <w:color w:val="auto"/>
          <w:spacing w:val="0"/>
          <w:position w:val="0"/>
          <w:sz w:val="24"/>
          <w:shd w:fill="auto" w:val="clear"/>
        </w:rPr>
        <w:tab/>
        <w:t xml:space="preserve">461</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6.2.7</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ДРАГОМАН</w:t>
      </w:r>
      <w:r>
        <w:rPr>
          <w:rFonts w:ascii="Times New Roman" w:hAnsi="Times New Roman" w:cs="Times New Roman" w:eastAsia="Times New Roman"/>
          <w:color w:val="auto"/>
          <w:spacing w:val="0"/>
          <w:position w:val="0"/>
          <w:sz w:val="24"/>
          <w:shd w:fill="auto" w:val="clear"/>
        </w:rPr>
        <w:tab/>
        <w:t xml:space="preserve">463</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6.2.8</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ЕЛИН ПЕЛИН</w:t>
      </w:r>
      <w:r>
        <w:rPr>
          <w:rFonts w:ascii="Times New Roman" w:hAnsi="Times New Roman" w:cs="Times New Roman" w:eastAsia="Times New Roman"/>
          <w:color w:val="auto"/>
          <w:spacing w:val="0"/>
          <w:position w:val="0"/>
          <w:sz w:val="24"/>
          <w:shd w:fill="auto" w:val="clear"/>
        </w:rPr>
        <w:tab/>
        <w:t xml:space="preserve">465</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6.2.9</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ЕТРОПОЛЕ</w:t>
      </w:r>
      <w:r>
        <w:rPr>
          <w:rFonts w:ascii="Times New Roman" w:hAnsi="Times New Roman" w:cs="Times New Roman" w:eastAsia="Times New Roman"/>
          <w:color w:val="auto"/>
          <w:spacing w:val="0"/>
          <w:position w:val="0"/>
          <w:sz w:val="24"/>
          <w:shd w:fill="auto" w:val="clear"/>
        </w:rPr>
        <w:tab/>
        <w:t xml:space="preserve">467</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6.2.10</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ЗЛАТИЦА</w:t>
      </w:r>
      <w:r>
        <w:rPr>
          <w:rFonts w:ascii="Times New Roman" w:hAnsi="Times New Roman" w:cs="Times New Roman" w:eastAsia="Times New Roman"/>
          <w:color w:val="auto"/>
          <w:spacing w:val="0"/>
          <w:position w:val="0"/>
          <w:sz w:val="24"/>
          <w:shd w:fill="auto" w:val="clear"/>
        </w:rPr>
        <w:tab/>
        <w:t xml:space="preserve">469</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6.2.11</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ИХТИМАН</w:t>
      </w:r>
      <w:r>
        <w:rPr>
          <w:rFonts w:ascii="Times New Roman" w:hAnsi="Times New Roman" w:cs="Times New Roman" w:eastAsia="Times New Roman"/>
          <w:color w:val="auto"/>
          <w:spacing w:val="0"/>
          <w:position w:val="0"/>
          <w:sz w:val="24"/>
          <w:shd w:fill="auto" w:val="clear"/>
        </w:rPr>
        <w:tab/>
        <w:t xml:space="preserve">472</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6.2.12</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КОПРИВЩИЦА</w:t>
      </w:r>
      <w:r>
        <w:rPr>
          <w:rFonts w:ascii="Times New Roman" w:hAnsi="Times New Roman" w:cs="Times New Roman" w:eastAsia="Times New Roman"/>
          <w:color w:val="auto"/>
          <w:spacing w:val="0"/>
          <w:position w:val="0"/>
          <w:sz w:val="24"/>
          <w:shd w:fill="auto" w:val="clear"/>
        </w:rPr>
        <w:tab/>
        <w:t xml:space="preserve">474</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6.2.13</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КОСТЕНЕЦ</w:t>
      </w:r>
      <w:r>
        <w:rPr>
          <w:rFonts w:ascii="Times New Roman" w:hAnsi="Times New Roman" w:cs="Times New Roman" w:eastAsia="Times New Roman"/>
          <w:color w:val="auto"/>
          <w:spacing w:val="0"/>
          <w:position w:val="0"/>
          <w:sz w:val="24"/>
          <w:shd w:fill="auto" w:val="clear"/>
        </w:rPr>
        <w:tab/>
        <w:t xml:space="preserve">475</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6.2.14</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КОСТИНБРОД</w:t>
      </w:r>
      <w:r>
        <w:rPr>
          <w:rFonts w:ascii="Times New Roman" w:hAnsi="Times New Roman" w:cs="Times New Roman" w:eastAsia="Times New Roman"/>
          <w:color w:val="auto"/>
          <w:spacing w:val="0"/>
          <w:position w:val="0"/>
          <w:sz w:val="24"/>
          <w:shd w:fill="auto" w:val="clear"/>
        </w:rPr>
        <w:tab/>
        <w:t xml:space="preserve">477</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6.2.15</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МИРКОВО</w:t>
      </w:r>
      <w:r>
        <w:rPr>
          <w:rFonts w:ascii="Times New Roman" w:hAnsi="Times New Roman" w:cs="Times New Roman" w:eastAsia="Times New Roman"/>
          <w:color w:val="auto"/>
          <w:spacing w:val="0"/>
          <w:position w:val="0"/>
          <w:sz w:val="24"/>
          <w:shd w:fill="auto" w:val="clear"/>
        </w:rPr>
        <w:tab/>
        <w:t xml:space="preserve">479</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6.2.16</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ПИРДОП</w:t>
      </w:r>
      <w:r>
        <w:rPr>
          <w:rFonts w:ascii="Times New Roman" w:hAnsi="Times New Roman" w:cs="Times New Roman" w:eastAsia="Times New Roman"/>
          <w:color w:val="auto"/>
          <w:spacing w:val="0"/>
          <w:position w:val="0"/>
          <w:sz w:val="24"/>
          <w:shd w:fill="auto" w:val="clear"/>
        </w:rPr>
        <w:tab/>
        <w:t xml:space="preserve">480</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6.2.17</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ПРАВЕЦ</w:t>
      </w:r>
      <w:r>
        <w:rPr>
          <w:rFonts w:ascii="Times New Roman" w:hAnsi="Times New Roman" w:cs="Times New Roman" w:eastAsia="Times New Roman"/>
          <w:color w:val="auto"/>
          <w:spacing w:val="0"/>
          <w:position w:val="0"/>
          <w:sz w:val="24"/>
          <w:shd w:fill="auto" w:val="clear"/>
        </w:rPr>
        <w:tab/>
        <w:t xml:space="preserve">482</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6.2.18</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САМОКОВ</w:t>
      </w:r>
      <w:r>
        <w:rPr>
          <w:rFonts w:ascii="Times New Roman" w:hAnsi="Times New Roman" w:cs="Times New Roman" w:eastAsia="Times New Roman"/>
          <w:color w:val="auto"/>
          <w:spacing w:val="0"/>
          <w:position w:val="0"/>
          <w:sz w:val="24"/>
          <w:shd w:fill="auto" w:val="clear"/>
        </w:rPr>
        <w:tab/>
        <w:t xml:space="preserve">485</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6.2.19</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СВОГЕ</w:t>
      </w:r>
      <w:r>
        <w:rPr>
          <w:rFonts w:ascii="Times New Roman" w:hAnsi="Times New Roman" w:cs="Times New Roman" w:eastAsia="Times New Roman"/>
          <w:color w:val="auto"/>
          <w:spacing w:val="0"/>
          <w:position w:val="0"/>
          <w:sz w:val="24"/>
          <w:shd w:fill="auto" w:val="clear"/>
        </w:rPr>
        <w:tab/>
        <w:t xml:space="preserve">487</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6.2.20</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СЛИВНИЦА</w:t>
      </w:r>
      <w:r>
        <w:rPr>
          <w:rFonts w:ascii="Times New Roman" w:hAnsi="Times New Roman" w:cs="Times New Roman" w:eastAsia="Times New Roman"/>
          <w:color w:val="auto"/>
          <w:spacing w:val="0"/>
          <w:position w:val="0"/>
          <w:sz w:val="24"/>
          <w:shd w:fill="auto" w:val="clear"/>
        </w:rPr>
        <w:tab/>
        <w:t xml:space="preserve">489</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6.2.21</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ЧАВДАР</w:t>
      </w:r>
      <w:r>
        <w:rPr>
          <w:rFonts w:ascii="Times New Roman" w:hAnsi="Times New Roman" w:cs="Times New Roman" w:eastAsia="Times New Roman"/>
          <w:color w:val="auto"/>
          <w:spacing w:val="0"/>
          <w:position w:val="0"/>
          <w:sz w:val="24"/>
          <w:shd w:fill="auto" w:val="clear"/>
        </w:rPr>
        <w:tab/>
        <w:t xml:space="preserve">491</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6.2.22</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ЧЕЛОПЕЧ</w:t>
      </w:r>
      <w:r>
        <w:rPr>
          <w:rFonts w:ascii="Times New Roman" w:hAnsi="Times New Roman" w:cs="Times New Roman" w:eastAsia="Times New Roman"/>
          <w:color w:val="auto"/>
          <w:spacing w:val="0"/>
          <w:position w:val="0"/>
          <w:sz w:val="24"/>
          <w:shd w:fill="auto" w:val="clear"/>
        </w:rPr>
        <w:tab/>
        <w:t xml:space="preserve">493</w:t>
      </w:r>
    </w:p>
    <w:p>
      <w:pPr>
        <w:tabs>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АНАЛИЗ НА ПОТРЕБНОСТИТЕ В СОФИЯ </w:t>
      </w:r>
      <w:r>
        <w:rPr>
          <w:rFonts w:ascii="Times New Roman" w:hAnsi="Times New Roman" w:cs="Times New Roman" w:eastAsia="Times New Roman"/>
          <w:color w:val="0000FF"/>
          <w:spacing w:val="0"/>
          <w:position w:val="0"/>
          <w:sz w:val="24"/>
          <w:u w:val="single"/>
          <w:shd w:fill="auto" w:val="clear"/>
        </w:rPr>
        <w:t xml:space="preserve">–</w:t>
      </w:r>
      <w:r>
        <w:rPr>
          <w:rFonts w:ascii="Times New Roman" w:hAnsi="Times New Roman" w:cs="Times New Roman" w:eastAsia="Times New Roman"/>
          <w:color w:val="0000FF"/>
          <w:spacing w:val="0"/>
          <w:position w:val="0"/>
          <w:sz w:val="24"/>
          <w:u w:val="single"/>
          <w:shd w:fill="auto" w:val="clear"/>
        </w:rPr>
        <w:t xml:space="preserve"> </w:t>
      </w:r>
      <w:r>
        <w:rPr>
          <w:rFonts w:ascii="Times New Roman" w:hAnsi="Times New Roman" w:cs="Times New Roman" w:eastAsia="Times New Roman"/>
          <w:color w:val="0000FF"/>
          <w:spacing w:val="0"/>
          <w:position w:val="0"/>
          <w:sz w:val="24"/>
          <w:u w:val="single"/>
          <w:shd w:fill="auto" w:val="clear"/>
        </w:rPr>
        <w:t xml:space="preserve">ОБЛАСТ (обобщено)</w:t>
      </w:r>
      <w:r>
        <w:rPr>
          <w:rFonts w:ascii="Times New Roman" w:hAnsi="Times New Roman" w:cs="Times New Roman" w:eastAsia="Times New Roman"/>
          <w:color w:val="auto"/>
          <w:spacing w:val="0"/>
          <w:position w:val="0"/>
          <w:sz w:val="24"/>
          <w:shd w:fill="auto" w:val="clear"/>
        </w:rPr>
        <w:tab/>
        <w:t xml:space="preserve">495</w:t>
      </w:r>
    </w:p>
    <w:p>
      <w:pPr>
        <w:tabs>
          <w:tab w:val="left" w:pos="88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6.3</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ОБЛАСТ БЛАГОЕВГРАД</w:t>
      </w:r>
      <w:r>
        <w:rPr>
          <w:rFonts w:ascii="Times New Roman" w:hAnsi="Times New Roman" w:cs="Times New Roman" w:eastAsia="Times New Roman"/>
          <w:color w:val="auto"/>
          <w:spacing w:val="0"/>
          <w:position w:val="0"/>
          <w:sz w:val="24"/>
          <w:shd w:fill="auto" w:val="clear"/>
        </w:rPr>
        <w:tab/>
        <w:t xml:space="preserve">500</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6.3.1</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БАНСКО</w:t>
      </w:r>
      <w:r>
        <w:rPr>
          <w:rFonts w:ascii="Times New Roman" w:hAnsi="Times New Roman" w:cs="Times New Roman" w:eastAsia="Times New Roman"/>
          <w:color w:val="auto"/>
          <w:spacing w:val="0"/>
          <w:position w:val="0"/>
          <w:sz w:val="24"/>
          <w:shd w:fill="auto" w:val="clear"/>
        </w:rPr>
        <w:tab/>
        <w:t xml:space="preserve">500</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6.3.2</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БЕЛИЦА</w:t>
      </w:r>
      <w:r>
        <w:rPr>
          <w:rFonts w:ascii="Times New Roman" w:hAnsi="Times New Roman" w:cs="Times New Roman" w:eastAsia="Times New Roman"/>
          <w:color w:val="auto"/>
          <w:spacing w:val="0"/>
          <w:position w:val="0"/>
          <w:sz w:val="24"/>
          <w:shd w:fill="auto" w:val="clear"/>
        </w:rPr>
        <w:tab/>
        <w:t xml:space="preserve">502</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6.3.3</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БЛАГОЕВГРАД</w:t>
      </w:r>
      <w:r>
        <w:rPr>
          <w:rFonts w:ascii="Times New Roman" w:hAnsi="Times New Roman" w:cs="Times New Roman" w:eastAsia="Times New Roman"/>
          <w:color w:val="auto"/>
          <w:spacing w:val="0"/>
          <w:position w:val="0"/>
          <w:sz w:val="24"/>
          <w:shd w:fill="auto" w:val="clear"/>
        </w:rPr>
        <w:tab/>
        <w:t xml:space="preserve">504</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6.3.4</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ГОЦЕ ДЕЛЧЕВ</w:t>
      </w:r>
      <w:r>
        <w:rPr>
          <w:rFonts w:ascii="Times New Roman" w:hAnsi="Times New Roman" w:cs="Times New Roman" w:eastAsia="Times New Roman"/>
          <w:color w:val="auto"/>
          <w:spacing w:val="0"/>
          <w:position w:val="0"/>
          <w:sz w:val="24"/>
          <w:shd w:fill="auto" w:val="clear"/>
        </w:rPr>
        <w:tab/>
        <w:t xml:space="preserve">507</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6.3.5</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ГЪРМЕН</w:t>
      </w:r>
      <w:r>
        <w:rPr>
          <w:rFonts w:ascii="Times New Roman" w:hAnsi="Times New Roman" w:cs="Times New Roman" w:eastAsia="Times New Roman"/>
          <w:color w:val="auto"/>
          <w:spacing w:val="0"/>
          <w:position w:val="0"/>
          <w:sz w:val="24"/>
          <w:shd w:fill="auto" w:val="clear"/>
        </w:rPr>
        <w:tab/>
        <w:t xml:space="preserve">509</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6.3.6</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КРЕСНА</w:t>
      </w:r>
      <w:r>
        <w:rPr>
          <w:rFonts w:ascii="Times New Roman" w:hAnsi="Times New Roman" w:cs="Times New Roman" w:eastAsia="Times New Roman"/>
          <w:color w:val="auto"/>
          <w:spacing w:val="0"/>
          <w:position w:val="0"/>
          <w:sz w:val="24"/>
          <w:shd w:fill="auto" w:val="clear"/>
        </w:rPr>
        <w:tab/>
        <w:t xml:space="preserve">510</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6.3.7</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ПЕТРИЧ</w:t>
      </w:r>
      <w:r>
        <w:rPr>
          <w:rFonts w:ascii="Times New Roman" w:hAnsi="Times New Roman" w:cs="Times New Roman" w:eastAsia="Times New Roman"/>
          <w:color w:val="auto"/>
          <w:spacing w:val="0"/>
          <w:position w:val="0"/>
          <w:sz w:val="24"/>
          <w:shd w:fill="auto" w:val="clear"/>
        </w:rPr>
        <w:tab/>
        <w:t xml:space="preserve">512</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6.3.8</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РАЗЛОГ</w:t>
      </w:r>
      <w:r>
        <w:rPr>
          <w:rFonts w:ascii="Times New Roman" w:hAnsi="Times New Roman" w:cs="Times New Roman" w:eastAsia="Times New Roman"/>
          <w:color w:val="auto"/>
          <w:spacing w:val="0"/>
          <w:position w:val="0"/>
          <w:sz w:val="24"/>
          <w:shd w:fill="auto" w:val="clear"/>
        </w:rPr>
        <w:tab/>
        <w:t xml:space="preserve">514</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6.3.9</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САНДАНСКИ</w:t>
      </w:r>
      <w:r>
        <w:rPr>
          <w:rFonts w:ascii="Times New Roman" w:hAnsi="Times New Roman" w:cs="Times New Roman" w:eastAsia="Times New Roman"/>
          <w:color w:val="auto"/>
          <w:spacing w:val="0"/>
          <w:position w:val="0"/>
          <w:sz w:val="24"/>
          <w:shd w:fill="auto" w:val="clear"/>
        </w:rPr>
        <w:tab/>
        <w:t xml:space="preserve">516</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6.3.10</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САТОВЧА</w:t>
      </w:r>
      <w:r>
        <w:rPr>
          <w:rFonts w:ascii="Times New Roman" w:hAnsi="Times New Roman" w:cs="Times New Roman" w:eastAsia="Times New Roman"/>
          <w:color w:val="auto"/>
          <w:spacing w:val="0"/>
          <w:position w:val="0"/>
          <w:sz w:val="24"/>
          <w:shd w:fill="auto" w:val="clear"/>
        </w:rPr>
        <w:tab/>
        <w:t xml:space="preserve">518</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6.3.11</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СИМИТЛИ</w:t>
      </w:r>
      <w:r>
        <w:rPr>
          <w:rFonts w:ascii="Times New Roman" w:hAnsi="Times New Roman" w:cs="Times New Roman" w:eastAsia="Times New Roman"/>
          <w:color w:val="auto"/>
          <w:spacing w:val="0"/>
          <w:position w:val="0"/>
          <w:sz w:val="24"/>
          <w:shd w:fill="auto" w:val="clear"/>
        </w:rPr>
        <w:tab/>
        <w:t xml:space="preserve">519</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6.3.12</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СТРУМЯНИ</w:t>
      </w:r>
      <w:r>
        <w:rPr>
          <w:rFonts w:ascii="Times New Roman" w:hAnsi="Times New Roman" w:cs="Times New Roman" w:eastAsia="Times New Roman"/>
          <w:color w:val="auto"/>
          <w:spacing w:val="0"/>
          <w:position w:val="0"/>
          <w:sz w:val="24"/>
          <w:shd w:fill="auto" w:val="clear"/>
        </w:rPr>
        <w:tab/>
        <w:t xml:space="preserve">522</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6.3.13</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ХАДЖИДИМОВО</w:t>
      </w:r>
      <w:r>
        <w:rPr>
          <w:rFonts w:ascii="Times New Roman" w:hAnsi="Times New Roman" w:cs="Times New Roman" w:eastAsia="Times New Roman"/>
          <w:color w:val="auto"/>
          <w:spacing w:val="0"/>
          <w:position w:val="0"/>
          <w:sz w:val="24"/>
          <w:shd w:fill="auto" w:val="clear"/>
        </w:rPr>
        <w:tab/>
        <w:t xml:space="preserve">524</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6.3.14</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ЯКОРУДА</w:t>
      </w:r>
      <w:r>
        <w:rPr>
          <w:rFonts w:ascii="Times New Roman" w:hAnsi="Times New Roman" w:cs="Times New Roman" w:eastAsia="Times New Roman"/>
          <w:color w:val="auto"/>
          <w:spacing w:val="0"/>
          <w:position w:val="0"/>
          <w:sz w:val="24"/>
          <w:shd w:fill="auto" w:val="clear"/>
        </w:rPr>
        <w:tab/>
        <w:t xml:space="preserve">526</w:t>
      </w:r>
    </w:p>
    <w:p>
      <w:pPr>
        <w:tabs>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АНАЛИЗ НА ПОТРЕБНОСТИТЕ В ОБЛАСТ БЛАГОЕВГРАД (обобщено)</w:t>
      </w:r>
      <w:r>
        <w:rPr>
          <w:rFonts w:ascii="Times New Roman" w:hAnsi="Times New Roman" w:cs="Times New Roman" w:eastAsia="Times New Roman"/>
          <w:color w:val="auto"/>
          <w:spacing w:val="0"/>
          <w:position w:val="0"/>
          <w:sz w:val="24"/>
          <w:shd w:fill="auto" w:val="clear"/>
        </w:rPr>
        <w:tab/>
        <w:t xml:space="preserve">528</w:t>
      </w:r>
    </w:p>
    <w:p>
      <w:pPr>
        <w:tabs>
          <w:tab w:val="left" w:pos="88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6.4</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ОБЛАСТ ПЕРНИК</w:t>
      </w:r>
      <w:r>
        <w:rPr>
          <w:rFonts w:ascii="Times New Roman" w:hAnsi="Times New Roman" w:cs="Times New Roman" w:eastAsia="Times New Roman"/>
          <w:color w:val="auto"/>
          <w:spacing w:val="0"/>
          <w:position w:val="0"/>
          <w:sz w:val="24"/>
          <w:shd w:fill="auto" w:val="clear"/>
        </w:rPr>
        <w:tab/>
        <w:t xml:space="preserve">533</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6.4.1</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БРЕЗНИК</w:t>
      </w:r>
      <w:r>
        <w:rPr>
          <w:rFonts w:ascii="Times New Roman" w:hAnsi="Times New Roman" w:cs="Times New Roman" w:eastAsia="Times New Roman"/>
          <w:color w:val="auto"/>
          <w:spacing w:val="0"/>
          <w:position w:val="0"/>
          <w:sz w:val="24"/>
          <w:shd w:fill="auto" w:val="clear"/>
        </w:rPr>
        <w:tab/>
        <w:t xml:space="preserve">533</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6.4.2</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ЗЕМЕН</w:t>
      </w:r>
      <w:r>
        <w:rPr>
          <w:rFonts w:ascii="Times New Roman" w:hAnsi="Times New Roman" w:cs="Times New Roman" w:eastAsia="Times New Roman"/>
          <w:color w:val="auto"/>
          <w:spacing w:val="0"/>
          <w:position w:val="0"/>
          <w:sz w:val="24"/>
          <w:shd w:fill="auto" w:val="clear"/>
        </w:rPr>
        <w:tab/>
        <w:t xml:space="preserve">535</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6.4.3</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КОВАЧЕВЦИ</w:t>
      </w:r>
      <w:r>
        <w:rPr>
          <w:rFonts w:ascii="Times New Roman" w:hAnsi="Times New Roman" w:cs="Times New Roman" w:eastAsia="Times New Roman"/>
          <w:color w:val="auto"/>
          <w:spacing w:val="0"/>
          <w:position w:val="0"/>
          <w:sz w:val="24"/>
          <w:shd w:fill="auto" w:val="clear"/>
        </w:rPr>
        <w:tab/>
        <w:t xml:space="preserve">536</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6.4.4</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ПЕРНИК</w:t>
      </w:r>
      <w:r>
        <w:rPr>
          <w:rFonts w:ascii="Times New Roman" w:hAnsi="Times New Roman" w:cs="Times New Roman" w:eastAsia="Times New Roman"/>
          <w:color w:val="auto"/>
          <w:spacing w:val="0"/>
          <w:position w:val="0"/>
          <w:sz w:val="24"/>
          <w:shd w:fill="auto" w:val="clear"/>
        </w:rPr>
        <w:tab/>
        <w:t xml:space="preserve">538</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6.4.5</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РАДОМИР</w:t>
      </w:r>
      <w:r>
        <w:rPr>
          <w:rFonts w:ascii="Times New Roman" w:hAnsi="Times New Roman" w:cs="Times New Roman" w:eastAsia="Times New Roman"/>
          <w:color w:val="auto"/>
          <w:spacing w:val="0"/>
          <w:position w:val="0"/>
          <w:sz w:val="24"/>
          <w:shd w:fill="auto" w:val="clear"/>
        </w:rPr>
        <w:tab/>
        <w:t xml:space="preserve">540</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6.4.6</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ТРЪН</w:t>
      </w:r>
      <w:r>
        <w:rPr>
          <w:rFonts w:ascii="Times New Roman" w:hAnsi="Times New Roman" w:cs="Times New Roman" w:eastAsia="Times New Roman"/>
          <w:color w:val="auto"/>
          <w:spacing w:val="0"/>
          <w:position w:val="0"/>
          <w:sz w:val="24"/>
          <w:shd w:fill="auto" w:val="clear"/>
        </w:rPr>
        <w:tab/>
        <w:t xml:space="preserve">542</w:t>
      </w:r>
    </w:p>
    <w:p>
      <w:pPr>
        <w:tabs>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АНАЛИЗ НА ПОТРЕБНОСТИТЕ В ОБЛАСТ ПЕРНИК (обобщено)</w:t>
      </w:r>
      <w:r>
        <w:rPr>
          <w:rFonts w:ascii="Times New Roman" w:hAnsi="Times New Roman" w:cs="Times New Roman" w:eastAsia="Times New Roman"/>
          <w:color w:val="auto"/>
          <w:spacing w:val="0"/>
          <w:position w:val="0"/>
          <w:sz w:val="24"/>
          <w:shd w:fill="auto" w:val="clear"/>
        </w:rPr>
        <w:tab/>
        <w:t xml:space="preserve">544</w:t>
      </w:r>
    </w:p>
    <w:p>
      <w:pPr>
        <w:tabs>
          <w:tab w:val="left" w:pos="88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6.5</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ОБЛАСТ КЮСТЕНДИЛ</w:t>
      </w:r>
      <w:r>
        <w:rPr>
          <w:rFonts w:ascii="Times New Roman" w:hAnsi="Times New Roman" w:cs="Times New Roman" w:eastAsia="Times New Roman"/>
          <w:color w:val="auto"/>
          <w:spacing w:val="0"/>
          <w:position w:val="0"/>
          <w:sz w:val="24"/>
          <w:shd w:fill="auto" w:val="clear"/>
        </w:rPr>
        <w:tab/>
        <w:t xml:space="preserve">550</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6.5.1</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БОБОВ ДОЛ</w:t>
      </w:r>
      <w:r>
        <w:rPr>
          <w:rFonts w:ascii="Times New Roman" w:hAnsi="Times New Roman" w:cs="Times New Roman" w:eastAsia="Times New Roman"/>
          <w:color w:val="auto"/>
          <w:spacing w:val="0"/>
          <w:position w:val="0"/>
          <w:sz w:val="24"/>
          <w:shd w:fill="auto" w:val="clear"/>
        </w:rPr>
        <w:tab/>
        <w:t xml:space="preserve">550</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6.5.2</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БОБОШЕВО</w:t>
      </w:r>
      <w:r>
        <w:rPr>
          <w:rFonts w:ascii="Times New Roman" w:hAnsi="Times New Roman" w:cs="Times New Roman" w:eastAsia="Times New Roman"/>
          <w:color w:val="auto"/>
          <w:spacing w:val="0"/>
          <w:position w:val="0"/>
          <w:sz w:val="24"/>
          <w:shd w:fill="auto" w:val="clear"/>
        </w:rPr>
        <w:tab/>
        <w:t xml:space="preserve">552</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6.5.3</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ДУПНИЦА</w:t>
      </w:r>
      <w:r>
        <w:rPr>
          <w:rFonts w:ascii="Times New Roman" w:hAnsi="Times New Roman" w:cs="Times New Roman" w:eastAsia="Times New Roman"/>
          <w:color w:val="auto"/>
          <w:spacing w:val="0"/>
          <w:position w:val="0"/>
          <w:sz w:val="24"/>
          <w:shd w:fill="auto" w:val="clear"/>
        </w:rPr>
        <w:tab/>
        <w:t xml:space="preserve">553</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6.5.4</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КОЧЕРИНОВО</w:t>
      </w:r>
      <w:r>
        <w:rPr>
          <w:rFonts w:ascii="Times New Roman" w:hAnsi="Times New Roman" w:cs="Times New Roman" w:eastAsia="Times New Roman"/>
          <w:color w:val="auto"/>
          <w:spacing w:val="0"/>
          <w:position w:val="0"/>
          <w:sz w:val="24"/>
          <w:shd w:fill="auto" w:val="clear"/>
        </w:rPr>
        <w:tab/>
        <w:t xml:space="preserve">556</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6.5.5</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КЮСТЕНДИЛ</w:t>
      </w:r>
      <w:r>
        <w:rPr>
          <w:rFonts w:ascii="Times New Roman" w:hAnsi="Times New Roman" w:cs="Times New Roman" w:eastAsia="Times New Roman"/>
          <w:color w:val="auto"/>
          <w:spacing w:val="0"/>
          <w:position w:val="0"/>
          <w:sz w:val="24"/>
          <w:shd w:fill="auto" w:val="clear"/>
        </w:rPr>
        <w:tab/>
        <w:t xml:space="preserve">557</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6.5.6</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НЕВЕСТИНО</w:t>
      </w:r>
      <w:r>
        <w:rPr>
          <w:rFonts w:ascii="Times New Roman" w:hAnsi="Times New Roman" w:cs="Times New Roman" w:eastAsia="Times New Roman"/>
          <w:color w:val="auto"/>
          <w:spacing w:val="0"/>
          <w:position w:val="0"/>
          <w:sz w:val="24"/>
          <w:shd w:fill="auto" w:val="clear"/>
        </w:rPr>
        <w:tab/>
        <w:t xml:space="preserve">560</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6.5.7</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РИЛА</w:t>
      </w:r>
      <w:r>
        <w:rPr>
          <w:rFonts w:ascii="Times New Roman" w:hAnsi="Times New Roman" w:cs="Times New Roman" w:eastAsia="Times New Roman"/>
          <w:color w:val="auto"/>
          <w:spacing w:val="0"/>
          <w:position w:val="0"/>
          <w:sz w:val="24"/>
          <w:shd w:fill="auto" w:val="clear"/>
        </w:rPr>
        <w:tab/>
        <w:t xml:space="preserve">561</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6.5.8</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САПАРЕВА БАНЯ</w:t>
      </w:r>
      <w:r>
        <w:rPr>
          <w:rFonts w:ascii="Times New Roman" w:hAnsi="Times New Roman" w:cs="Times New Roman" w:eastAsia="Times New Roman"/>
          <w:color w:val="auto"/>
          <w:spacing w:val="0"/>
          <w:position w:val="0"/>
          <w:sz w:val="24"/>
          <w:shd w:fill="auto" w:val="clear"/>
        </w:rPr>
        <w:tab/>
        <w:t xml:space="preserve">563</w:t>
      </w:r>
    </w:p>
    <w:p>
      <w:pPr>
        <w:tabs>
          <w:tab w:val="left" w:pos="110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6.5.9</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ОБЩИНА ТРЕКЛЯНО</w:t>
      </w:r>
      <w:r>
        <w:rPr>
          <w:rFonts w:ascii="Times New Roman" w:hAnsi="Times New Roman" w:cs="Times New Roman" w:eastAsia="Times New Roman"/>
          <w:color w:val="auto"/>
          <w:spacing w:val="0"/>
          <w:position w:val="0"/>
          <w:sz w:val="24"/>
          <w:shd w:fill="auto" w:val="clear"/>
        </w:rPr>
        <w:tab/>
        <w:t xml:space="preserve">565</w:t>
      </w:r>
    </w:p>
    <w:p>
      <w:pPr>
        <w:tabs>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АНАЛИЗ НА ПОТРЕБНОСТИТЕ В ОБЛАСТ КЮСТЕНДИЛ (обобщено)</w:t>
      </w:r>
      <w:r>
        <w:rPr>
          <w:rFonts w:ascii="Times New Roman" w:hAnsi="Times New Roman" w:cs="Times New Roman" w:eastAsia="Times New Roman"/>
          <w:color w:val="auto"/>
          <w:spacing w:val="0"/>
          <w:position w:val="0"/>
          <w:sz w:val="24"/>
          <w:shd w:fill="auto" w:val="clear"/>
        </w:rPr>
        <w:tab/>
        <w:t xml:space="preserve">566</w:t>
      </w:r>
    </w:p>
    <w:p>
      <w:pPr>
        <w:tabs>
          <w:tab w:val="left" w:pos="480" w:leader="none"/>
          <w:tab w:val="right" w:pos="9060" w:leader="dot"/>
        </w:tabs>
        <w:spacing w:before="0" w:after="60" w:line="240"/>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7</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ЮЖЕН ЦЕНТРАЛЕН РЕГИОН</w:t>
      </w:r>
      <w:r>
        <w:rPr>
          <w:rFonts w:ascii="Times New Roman" w:hAnsi="Times New Roman" w:cs="Times New Roman" w:eastAsia="Times New Roman"/>
          <w:color w:val="auto"/>
          <w:spacing w:val="0"/>
          <w:position w:val="0"/>
          <w:sz w:val="24"/>
          <w:shd w:fill="auto" w:val="clear"/>
        </w:rPr>
        <w:tab/>
        <w:t xml:space="preserve">571</w:t>
      </w:r>
    </w:p>
    <w:p>
      <w:pPr>
        <w:tabs>
          <w:tab w:val="left" w:pos="88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7.1</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ОБЛАСТ ПЛОВДИВ</w:t>
      </w:r>
      <w:r>
        <w:rPr>
          <w:rFonts w:ascii="Times New Roman" w:hAnsi="Times New Roman" w:cs="Times New Roman" w:eastAsia="Times New Roman"/>
          <w:color w:val="auto"/>
          <w:spacing w:val="0"/>
          <w:position w:val="0"/>
          <w:sz w:val="24"/>
          <w:shd w:fill="auto" w:val="clear"/>
        </w:rPr>
        <w:tab/>
        <w:t xml:space="preserve">571</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АСЕНОВГРАД</w:t>
      </w:r>
      <w:r>
        <w:rPr>
          <w:rFonts w:ascii="Times New Roman" w:hAnsi="Times New Roman" w:cs="Times New Roman" w:eastAsia="Times New Roman"/>
          <w:color w:val="auto"/>
          <w:spacing w:val="0"/>
          <w:position w:val="0"/>
          <w:sz w:val="24"/>
          <w:shd w:fill="auto" w:val="clear"/>
        </w:rPr>
        <w:tab/>
        <w:t xml:space="preserve">571</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БРЕЗОВО</w:t>
      </w:r>
      <w:r>
        <w:rPr>
          <w:rFonts w:ascii="Times New Roman" w:hAnsi="Times New Roman" w:cs="Times New Roman" w:eastAsia="Times New Roman"/>
          <w:color w:val="auto"/>
          <w:spacing w:val="0"/>
          <w:position w:val="0"/>
          <w:sz w:val="24"/>
          <w:shd w:fill="auto" w:val="clear"/>
        </w:rPr>
        <w:tab/>
        <w:t xml:space="preserve">573</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КАЛОЯНОВО</w:t>
      </w:r>
      <w:r>
        <w:rPr>
          <w:rFonts w:ascii="Times New Roman" w:hAnsi="Times New Roman" w:cs="Times New Roman" w:eastAsia="Times New Roman"/>
          <w:color w:val="auto"/>
          <w:spacing w:val="0"/>
          <w:position w:val="0"/>
          <w:sz w:val="24"/>
          <w:shd w:fill="auto" w:val="clear"/>
        </w:rPr>
        <w:tab/>
        <w:t xml:space="preserve">575</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КАРЛОВО</w:t>
      </w:r>
      <w:r>
        <w:rPr>
          <w:rFonts w:ascii="Times New Roman" w:hAnsi="Times New Roman" w:cs="Times New Roman" w:eastAsia="Times New Roman"/>
          <w:color w:val="auto"/>
          <w:spacing w:val="0"/>
          <w:position w:val="0"/>
          <w:sz w:val="24"/>
          <w:shd w:fill="auto" w:val="clear"/>
        </w:rPr>
        <w:tab/>
        <w:t xml:space="preserve">577</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КРИЧИМ</w:t>
      </w:r>
      <w:r>
        <w:rPr>
          <w:rFonts w:ascii="Times New Roman" w:hAnsi="Times New Roman" w:cs="Times New Roman" w:eastAsia="Times New Roman"/>
          <w:color w:val="auto"/>
          <w:spacing w:val="0"/>
          <w:position w:val="0"/>
          <w:sz w:val="24"/>
          <w:shd w:fill="auto" w:val="clear"/>
        </w:rPr>
        <w:tab/>
        <w:t xml:space="preserve">579</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КУКЛЕН</w:t>
      </w:r>
      <w:r>
        <w:rPr>
          <w:rFonts w:ascii="Times New Roman" w:hAnsi="Times New Roman" w:cs="Times New Roman" w:eastAsia="Times New Roman"/>
          <w:color w:val="auto"/>
          <w:spacing w:val="0"/>
          <w:position w:val="0"/>
          <w:sz w:val="24"/>
          <w:shd w:fill="auto" w:val="clear"/>
        </w:rPr>
        <w:tab/>
        <w:t xml:space="preserve">581</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ЛЪКИ</w:t>
      </w:r>
      <w:r>
        <w:rPr>
          <w:rFonts w:ascii="Times New Roman" w:hAnsi="Times New Roman" w:cs="Times New Roman" w:eastAsia="Times New Roman"/>
          <w:color w:val="auto"/>
          <w:spacing w:val="0"/>
          <w:position w:val="0"/>
          <w:sz w:val="24"/>
          <w:shd w:fill="auto" w:val="clear"/>
        </w:rPr>
        <w:tab/>
        <w:t xml:space="preserve">582</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МАРИЦА</w:t>
      </w:r>
      <w:r>
        <w:rPr>
          <w:rFonts w:ascii="Times New Roman" w:hAnsi="Times New Roman" w:cs="Times New Roman" w:eastAsia="Times New Roman"/>
          <w:color w:val="auto"/>
          <w:spacing w:val="0"/>
          <w:position w:val="0"/>
          <w:sz w:val="24"/>
          <w:shd w:fill="auto" w:val="clear"/>
        </w:rPr>
        <w:tab/>
        <w:t xml:space="preserve">584</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ПЕРУЩИЦА</w:t>
      </w:r>
      <w:r>
        <w:rPr>
          <w:rFonts w:ascii="Times New Roman" w:hAnsi="Times New Roman" w:cs="Times New Roman" w:eastAsia="Times New Roman"/>
          <w:color w:val="auto"/>
          <w:spacing w:val="0"/>
          <w:position w:val="0"/>
          <w:sz w:val="24"/>
          <w:shd w:fill="auto" w:val="clear"/>
        </w:rPr>
        <w:tab/>
        <w:t xml:space="preserve">586</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ПЛОВДИВ</w:t>
      </w:r>
      <w:r>
        <w:rPr>
          <w:rFonts w:ascii="Times New Roman" w:hAnsi="Times New Roman" w:cs="Times New Roman" w:eastAsia="Times New Roman"/>
          <w:color w:val="auto"/>
          <w:spacing w:val="0"/>
          <w:position w:val="0"/>
          <w:sz w:val="24"/>
          <w:shd w:fill="auto" w:val="clear"/>
        </w:rPr>
        <w:tab/>
        <w:t xml:space="preserve">587</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ПЪРВОМАЙ</w:t>
      </w:r>
      <w:r>
        <w:rPr>
          <w:rFonts w:ascii="Times New Roman" w:hAnsi="Times New Roman" w:cs="Times New Roman" w:eastAsia="Times New Roman"/>
          <w:color w:val="auto"/>
          <w:spacing w:val="0"/>
          <w:position w:val="0"/>
          <w:sz w:val="24"/>
          <w:shd w:fill="auto" w:val="clear"/>
        </w:rPr>
        <w:tab/>
        <w:t xml:space="preserve">591</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РАКОВСКИ</w:t>
      </w:r>
      <w:r>
        <w:rPr>
          <w:rFonts w:ascii="Times New Roman" w:hAnsi="Times New Roman" w:cs="Times New Roman" w:eastAsia="Times New Roman"/>
          <w:color w:val="auto"/>
          <w:spacing w:val="0"/>
          <w:position w:val="0"/>
          <w:sz w:val="24"/>
          <w:shd w:fill="auto" w:val="clear"/>
        </w:rPr>
        <w:tab/>
        <w:t xml:space="preserve">593</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РОДОПИ</w:t>
      </w:r>
      <w:r>
        <w:rPr>
          <w:rFonts w:ascii="Times New Roman" w:hAnsi="Times New Roman" w:cs="Times New Roman" w:eastAsia="Times New Roman"/>
          <w:color w:val="auto"/>
          <w:spacing w:val="0"/>
          <w:position w:val="0"/>
          <w:sz w:val="24"/>
          <w:shd w:fill="auto" w:val="clear"/>
        </w:rPr>
        <w:tab/>
        <w:t xml:space="preserve">595</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САДОВО</w:t>
      </w:r>
      <w:r>
        <w:rPr>
          <w:rFonts w:ascii="Times New Roman" w:hAnsi="Times New Roman" w:cs="Times New Roman" w:eastAsia="Times New Roman"/>
          <w:color w:val="auto"/>
          <w:spacing w:val="0"/>
          <w:position w:val="0"/>
          <w:sz w:val="24"/>
          <w:shd w:fill="auto" w:val="clear"/>
        </w:rPr>
        <w:tab/>
        <w:t xml:space="preserve">597</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СОПОТ</w:t>
      </w:r>
      <w:r>
        <w:rPr>
          <w:rFonts w:ascii="Times New Roman" w:hAnsi="Times New Roman" w:cs="Times New Roman" w:eastAsia="Times New Roman"/>
          <w:color w:val="auto"/>
          <w:spacing w:val="0"/>
          <w:position w:val="0"/>
          <w:sz w:val="24"/>
          <w:shd w:fill="auto" w:val="clear"/>
        </w:rPr>
        <w:tab/>
        <w:t xml:space="preserve">599</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СТАМБОЛИЙСКИ</w:t>
      </w:r>
      <w:r>
        <w:rPr>
          <w:rFonts w:ascii="Times New Roman" w:hAnsi="Times New Roman" w:cs="Times New Roman" w:eastAsia="Times New Roman"/>
          <w:color w:val="auto"/>
          <w:spacing w:val="0"/>
          <w:position w:val="0"/>
          <w:sz w:val="24"/>
          <w:shd w:fill="auto" w:val="clear"/>
        </w:rPr>
        <w:tab/>
        <w:t xml:space="preserve">601</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СЪЕДИНЕНИЕ</w:t>
      </w:r>
      <w:r>
        <w:rPr>
          <w:rFonts w:ascii="Times New Roman" w:hAnsi="Times New Roman" w:cs="Times New Roman" w:eastAsia="Times New Roman"/>
          <w:color w:val="auto"/>
          <w:spacing w:val="0"/>
          <w:position w:val="0"/>
          <w:sz w:val="24"/>
          <w:shd w:fill="auto" w:val="clear"/>
        </w:rPr>
        <w:tab/>
        <w:t xml:space="preserve">603</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ХИСАРЯ</w:t>
      </w:r>
      <w:r>
        <w:rPr>
          <w:rFonts w:ascii="Times New Roman" w:hAnsi="Times New Roman" w:cs="Times New Roman" w:eastAsia="Times New Roman"/>
          <w:color w:val="auto"/>
          <w:spacing w:val="0"/>
          <w:position w:val="0"/>
          <w:sz w:val="24"/>
          <w:shd w:fill="auto" w:val="clear"/>
        </w:rPr>
        <w:tab/>
        <w:t xml:space="preserve">604</w:t>
      </w:r>
    </w:p>
    <w:p>
      <w:pPr>
        <w:tabs>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АНАЛИЗ НА ПОТРЕБНОСТИТЕ В ОБЛАСТ ПЛОВДИВ (обобщено)</w:t>
      </w:r>
      <w:r>
        <w:rPr>
          <w:rFonts w:ascii="Times New Roman" w:hAnsi="Times New Roman" w:cs="Times New Roman" w:eastAsia="Times New Roman"/>
          <w:color w:val="auto"/>
          <w:spacing w:val="0"/>
          <w:position w:val="0"/>
          <w:sz w:val="24"/>
          <w:shd w:fill="auto" w:val="clear"/>
        </w:rPr>
        <w:tab/>
        <w:t xml:space="preserve">606</w:t>
      </w:r>
    </w:p>
    <w:p>
      <w:pPr>
        <w:tabs>
          <w:tab w:val="left" w:pos="88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7.2</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ОБЛАСТ ХАСКОВО</w:t>
      </w:r>
      <w:r>
        <w:rPr>
          <w:rFonts w:ascii="Times New Roman" w:hAnsi="Times New Roman" w:cs="Times New Roman" w:eastAsia="Times New Roman"/>
          <w:color w:val="auto"/>
          <w:spacing w:val="0"/>
          <w:position w:val="0"/>
          <w:sz w:val="24"/>
          <w:shd w:fill="auto" w:val="clear"/>
        </w:rPr>
        <w:tab/>
        <w:t xml:space="preserve">612</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ДИМИТРОВГРАД</w:t>
      </w:r>
      <w:r>
        <w:rPr>
          <w:rFonts w:ascii="Times New Roman" w:hAnsi="Times New Roman" w:cs="Times New Roman" w:eastAsia="Times New Roman"/>
          <w:color w:val="auto"/>
          <w:spacing w:val="0"/>
          <w:position w:val="0"/>
          <w:sz w:val="24"/>
          <w:shd w:fill="auto" w:val="clear"/>
        </w:rPr>
        <w:tab/>
        <w:t xml:space="preserve">612</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ИВАЙЛОВГРАД</w:t>
      </w:r>
      <w:r>
        <w:rPr>
          <w:rFonts w:ascii="Times New Roman" w:hAnsi="Times New Roman" w:cs="Times New Roman" w:eastAsia="Times New Roman"/>
          <w:color w:val="auto"/>
          <w:spacing w:val="0"/>
          <w:position w:val="0"/>
          <w:sz w:val="24"/>
          <w:shd w:fill="auto" w:val="clear"/>
        </w:rPr>
        <w:tab/>
        <w:t xml:space="preserve">615</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ЛЮБИМЕЦ</w:t>
      </w:r>
      <w:r>
        <w:rPr>
          <w:rFonts w:ascii="Times New Roman" w:hAnsi="Times New Roman" w:cs="Times New Roman" w:eastAsia="Times New Roman"/>
          <w:color w:val="auto"/>
          <w:spacing w:val="0"/>
          <w:position w:val="0"/>
          <w:sz w:val="24"/>
          <w:shd w:fill="auto" w:val="clear"/>
        </w:rPr>
        <w:tab/>
        <w:t xml:space="preserve">616</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МАДЖАРОВО</w:t>
      </w:r>
      <w:r>
        <w:rPr>
          <w:rFonts w:ascii="Times New Roman" w:hAnsi="Times New Roman" w:cs="Times New Roman" w:eastAsia="Times New Roman"/>
          <w:color w:val="auto"/>
          <w:spacing w:val="0"/>
          <w:position w:val="0"/>
          <w:sz w:val="24"/>
          <w:shd w:fill="auto" w:val="clear"/>
        </w:rPr>
        <w:tab/>
        <w:t xml:space="preserve">618</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МИНЕРАЛНИ БАНИ</w:t>
      </w:r>
      <w:r>
        <w:rPr>
          <w:rFonts w:ascii="Times New Roman" w:hAnsi="Times New Roman" w:cs="Times New Roman" w:eastAsia="Times New Roman"/>
          <w:color w:val="auto"/>
          <w:spacing w:val="0"/>
          <w:position w:val="0"/>
          <w:sz w:val="24"/>
          <w:shd w:fill="auto" w:val="clear"/>
        </w:rPr>
        <w:tab/>
        <w:t xml:space="preserve">620</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СВИЛЕНГРАД</w:t>
      </w:r>
      <w:r>
        <w:rPr>
          <w:rFonts w:ascii="Times New Roman" w:hAnsi="Times New Roman" w:cs="Times New Roman" w:eastAsia="Times New Roman"/>
          <w:color w:val="auto"/>
          <w:spacing w:val="0"/>
          <w:position w:val="0"/>
          <w:sz w:val="24"/>
          <w:shd w:fill="auto" w:val="clear"/>
        </w:rPr>
        <w:tab/>
        <w:t xml:space="preserve">622</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СИМЕОНОВГРАД</w:t>
      </w:r>
      <w:r>
        <w:rPr>
          <w:rFonts w:ascii="Times New Roman" w:hAnsi="Times New Roman" w:cs="Times New Roman" w:eastAsia="Times New Roman"/>
          <w:color w:val="auto"/>
          <w:spacing w:val="0"/>
          <w:position w:val="0"/>
          <w:sz w:val="24"/>
          <w:shd w:fill="auto" w:val="clear"/>
        </w:rPr>
        <w:tab/>
        <w:t xml:space="preserve">624</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СТАМБОЛОВО</w:t>
      </w:r>
      <w:r>
        <w:rPr>
          <w:rFonts w:ascii="Times New Roman" w:hAnsi="Times New Roman" w:cs="Times New Roman" w:eastAsia="Times New Roman"/>
          <w:color w:val="auto"/>
          <w:spacing w:val="0"/>
          <w:position w:val="0"/>
          <w:sz w:val="24"/>
          <w:shd w:fill="auto" w:val="clear"/>
        </w:rPr>
        <w:tab/>
        <w:t xml:space="preserve">626</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ТОПОЛОВГРАД</w:t>
      </w:r>
      <w:r>
        <w:rPr>
          <w:rFonts w:ascii="Times New Roman" w:hAnsi="Times New Roman" w:cs="Times New Roman" w:eastAsia="Times New Roman"/>
          <w:color w:val="auto"/>
          <w:spacing w:val="0"/>
          <w:position w:val="0"/>
          <w:sz w:val="24"/>
          <w:shd w:fill="auto" w:val="clear"/>
        </w:rPr>
        <w:tab/>
        <w:t xml:space="preserve">628</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ХАРМАНЛИ</w:t>
      </w:r>
      <w:r>
        <w:rPr>
          <w:rFonts w:ascii="Times New Roman" w:hAnsi="Times New Roman" w:cs="Times New Roman" w:eastAsia="Times New Roman"/>
          <w:color w:val="auto"/>
          <w:spacing w:val="0"/>
          <w:position w:val="0"/>
          <w:sz w:val="24"/>
          <w:shd w:fill="auto" w:val="clear"/>
        </w:rPr>
        <w:tab/>
        <w:t xml:space="preserve">630</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ХАСКОВО</w:t>
      </w:r>
      <w:r>
        <w:rPr>
          <w:rFonts w:ascii="Times New Roman" w:hAnsi="Times New Roman" w:cs="Times New Roman" w:eastAsia="Times New Roman"/>
          <w:color w:val="auto"/>
          <w:spacing w:val="0"/>
          <w:position w:val="0"/>
          <w:sz w:val="24"/>
          <w:shd w:fill="auto" w:val="clear"/>
        </w:rPr>
        <w:tab/>
        <w:t xml:space="preserve">632</w:t>
      </w:r>
    </w:p>
    <w:p>
      <w:pPr>
        <w:tabs>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АНАЛИЗ НА ПОТРЕБНОСТИТЕ В ОБЛАСТ ХАСКОВО (обобщено)</w:t>
      </w:r>
      <w:r>
        <w:rPr>
          <w:rFonts w:ascii="Times New Roman" w:hAnsi="Times New Roman" w:cs="Times New Roman" w:eastAsia="Times New Roman"/>
          <w:color w:val="auto"/>
          <w:spacing w:val="0"/>
          <w:position w:val="0"/>
          <w:sz w:val="24"/>
          <w:shd w:fill="auto" w:val="clear"/>
        </w:rPr>
        <w:tab/>
        <w:t xml:space="preserve">634</w:t>
      </w:r>
    </w:p>
    <w:p>
      <w:pPr>
        <w:tabs>
          <w:tab w:val="left" w:pos="88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7.3</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ОБЛАСТ ПАЗАРДЖИК</w:t>
      </w:r>
      <w:r>
        <w:rPr>
          <w:rFonts w:ascii="Times New Roman" w:hAnsi="Times New Roman" w:cs="Times New Roman" w:eastAsia="Times New Roman"/>
          <w:color w:val="auto"/>
          <w:spacing w:val="0"/>
          <w:position w:val="0"/>
          <w:sz w:val="24"/>
          <w:shd w:fill="auto" w:val="clear"/>
        </w:rPr>
        <w:tab/>
        <w:t xml:space="preserve">641</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БАТАК</w:t>
      </w:r>
      <w:r>
        <w:rPr>
          <w:rFonts w:ascii="Times New Roman" w:hAnsi="Times New Roman" w:cs="Times New Roman" w:eastAsia="Times New Roman"/>
          <w:color w:val="auto"/>
          <w:spacing w:val="0"/>
          <w:position w:val="0"/>
          <w:sz w:val="24"/>
          <w:shd w:fill="auto" w:val="clear"/>
        </w:rPr>
        <w:tab/>
        <w:t xml:space="preserve">641</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БЕЛОВО</w:t>
      </w:r>
      <w:r>
        <w:rPr>
          <w:rFonts w:ascii="Times New Roman" w:hAnsi="Times New Roman" w:cs="Times New Roman" w:eastAsia="Times New Roman"/>
          <w:color w:val="auto"/>
          <w:spacing w:val="0"/>
          <w:position w:val="0"/>
          <w:sz w:val="24"/>
          <w:shd w:fill="auto" w:val="clear"/>
        </w:rPr>
        <w:tab/>
        <w:t xml:space="preserve">643</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БРАЦИГОВО</w:t>
      </w:r>
      <w:r>
        <w:rPr>
          <w:rFonts w:ascii="Times New Roman" w:hAnsi="Times New Roman" w:cs="Times New Roman" w:eastAsia="Times New Roman"/>
          <w:color w:val="auto"/>
          <w:spacing w:val="0"/>
          <w:position w:val="0"/>
          <w:sz w:val="24"/>
          <w:shd w:fill="auto" w:val="clear"/>
        </w:rPr>
        <w:tab/>
        <w:t xml:space="preserve">646</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ВЕЛИНГРАД</w:t>
      </w:r>
      <w:r>
        <w:rPr>
          <w:rFonts w:ascii="Times New Roman" w:hAnsi="Times New Roman" w:cs="Times New Roman" w:eastAsia="Times New Roman"/>
          <w:color w:val="auto"/>
          <w:spacing w:val="0"/>
          <w:position w:val="0"/>
          <w:sz w:val="24"/>
          <w:shd w:fill="auto" w:val="clear"/>
        </w:rPr>
        <w:tab/>
        <w:t xml:space="preserve">648</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ЛЕСИЧОВО</w:t>
      </w:r>
      <w:r>
        <w:rPr>
          <w:rFonts w:ascii="Times New Roman" w:hAnsi="Times New Roman" w:cs="Times New Roman" w:eastAsia="Times New Roman"/>
          <w:color w:val="auto"/>
          <w:spacing w:val="0"/>
          <w:position w:val="0"/>
          <w:sz w:val="24"/>
          <w:shd w:fill="auto" w:val="clear"/>
        </w:rPr>
        <w:tab/>
        <w:t xml:space="preserve">650</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ПАЗАРДЖИК</w:t>
      </w:r>
      <w:r>
        <w:rPr>
          <w:rFonts w:ascii="Times New Roman" w:hAnsi="Times New Roman" w:cs="Times New Roman" w:eastAsia="Times New Roman"/>
          <w:color w:val="auto"/>
          <w:spacing w:val="0"/>
          <w:position w:val="0"/>
          <w:sz w:val="24"/>
          <w:shd w:fill="auto" w:val="clear"/>
        </w:rPr>
        <w:tab/>
        <w:t xml:space="preserve">652</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ПАНАГЮРИЩЕ</w:t>
      </w:r>
      <w:r>
        <w:rPr>
          <w:rFonts w:ascii="Times New Roman" w:hAnsi="Times New Roman" w:cs="Times New Roman" w:eastAsia="Times New Roman"/>
          <w:color w:val="auto"/>
          <w:spacing w:val="0"/>
          <w:position w:val="0"/>
          <w:sz w:val="24"/>
          <w:shd w:fill="auto" w:val="clear"/>
        </w:rPr>
        <w:tab/>
        <w:t xml:space="preserve">655</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ПЕЩЕРА</w:t>
      </w:r>
      <w:r>
        <w:rPr>
          <w:rFonts w:ascii="Times New Roman" w:hAnsi="Times New Roman" w:cs="Times New Roman" w:eastAsia="Times New Roman"/>
          <w:color w:val="auto"/>
          <w:spacing w:val="0"/>
          <w:position w:val="0"/>
          <w:sz w:val="24"/>
          <w:shd w:fill="auto" w:val="clear"/>
        </w:rPr>
        <w:tab/>
        <w:t xml:space="preserve">657</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РАКИТОВО</w:t>
      </w:r>
      <w:r>
        <w:rPr>
          <w:rFonts w:ascii="Times New Roman" w:hAnsi="Times New Roman" w:cs="Times New Roman" w:eastAsia="Times New Roman"/>
          <w:color w:val="auto"/>
          <w:spacing w:val="0"/>
          <w:position w:val="0"/>
          <w:sz w:val="24"/>
          <w:shd w:fill="auto" w:val="clear"/>
        </w:rPr>
        <w:tab/>
        <w:t xml:space="preserve">659</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СЕПТЕМВРИ</w:t>
      </w:r>
      <w:r>
        <w:rPr>
          <w:rFonts w:ascii="Times New Roman" w:hAnsi="Times New Roman" w:cs="Times New Roman" w:eastAsia="Times New Roman"/>
          <w:color w:val="auto"/>
          <w:spacing w:val="0"/>
          <w:position w:val="0"/>
          <w:sz w:val="24"/>
          <w:shd w:fill="auto" w:val="clear"/>
        </w:rPr>
        <w:tab/>
        <w:t xml:space="preserve">661</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СТРЕЛЧА</w:t>
      </w:r>
      <w:r>
        <w:rPr>
          <w:rFonts w:ascii="Times New Roman" w:hAnsi="Times New Roman" w:cs="Times New Roman" w:eastAsia="Times New Roman"/>
          <w:color w:val="auto"/>
          <w:spacing w:val="0"/>
          <w:position w:val="0"/>
          <w:sz w:val="24"/>
          <w:shd w:fill="auto" w:val="clear"/>
        </w:rPr>
        <w:tab/>
        <w:t xml:space="preserve">663</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СЪРНИЦА</w:t>
      </w:r>
      <w:r>
        <w:rPr>
          <w:rFonts w:ascii="Times New Roman" w:hAnsi="Times New Roman" w:cs="Times New Roman" w:eastAsia="Times New Roman"/>
          <w:color w:val="auto"/>
          <w:spacing w:val="0"/>
          <w:position w:val="0"/>
          <w:sz w:val="24"/>
          <w:shd w:fill="auto" w:val="clear"/>
        </w:rPr>
        <w:tab/>
        <w:t xml:space="preserve">666</w:t>
      </w:r>
    </w:p>
    <w:p>
      <w:pPr>
        <w:tabs>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АНАЛИЗ НА ПОТРЕБНОСТИТЕ В ОБЛАСТ ПАЗАРДЖИК (обобщено)</w:t>
      </w:r>
      <w:r>
        <w:rPr>
          <w:rFonts w:ascii="Times New Roman" w:hAnsi="Times New Roman" w:cs="Times New Roman" w:eastAsia="Times New Roman"/>
          <w:color w:val="auto"/>
          <w:spacing w:val="0"/>
          <w:position w:val="0"/>
          <w:sz w:val="24"/>
          <w:shd w:fill="auto" w:val="clear"/>
        </w:rPr>
        <w:tab/>
        <w:t xml:space="preserve">667</w:t>
      </w:r>
    </w:p>
    <w:p>
      <w:pPr>
        <w:tabs>
          <w:tab w:val="left" w:pos="88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7.4</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ОБЛАСТ СМОЛЯН</w:t>
      </w:r>
      <w:r>
        <w:rPr>
          <w:rFonts w:ascii="Times New Roman" w:hAnsi="Times New Roman" w:cs="Times New Roman" w:eastAsia="Times New Roman"/>
          <w:color w:val="auto"/>
          <w:spacing w:val="0"/>
          <w:position w:val="0"/>
          <w:sz w:val="24"/>
          <w:shd w:fill="auto" w:val="clear"/>
        </w:rPr>
        <w:tab/>
        <w:t xml:space="preserve">673</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БАНИТЕ</w:t>
      </w:r>
      <w:r>
        <w:rPr>
          <w:rFonts w:ascii="Times New Roman" w:hAnsi="Times New Roman" w:cs="Times New Roman" w:eastAsia="Times New Roman"/>
          <w:color w:val="auto"/>
          <w:spacing w:val="0"/>
          <w:position w:val="0"/>
          <w:sz w:val="24"/>
          <w:shd w:fill="auto" w:val="clear"/>
        </w:rPr>
        <w:tab/>
        <w:t xml:space="preserve">673</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БОРИНО</w:t>
      </w:r>
      <w:r>
        <w:rPr>
          <w:rFonts w:ascii="Times New Roman" w:hAnsi="Times New Roman" w:cs="Times New Roman" w:eastAsia="Times New Roman"/>
          <w:color w:val="auto"/>
          <w:spacing w:val="0"/>
          <w:position w:val="0"/>
          <w:sz w:val="24"/>
          <w:shd w:fill="auto" w:val="clear"/>
        </w:rPr>
        <w:tab/>
        <w:t xml:space="preserve">675</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ДЕВИН</w:t>
      </w:r>
      <w:r>
        <w:rPr>
          <w:rFonts w:ascii="Times New Roman" w:hAnsi="Times New Roman" w:cs="Times New Roman" w:eastAsia="Times New Roman"/>
          <w:color w:val="auto"/>
          <w:spacing w:val="0"/>
          <w:position w:val="0"/>
          <w:sz w:val="24"/>
          <w:shd w:fill="auto" w:val="clear"/>
        </w:rPr>
        <w:tab/>
        <w:t xml:space="preserve">677</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ДОСПАТ</w:t>
      </w:r>
      <w:r>
        <w:rPr>
          <w:rFonts w:ascii="Times New Roman" w:hAnsi="Times New Roman" w:cs="Times New Roman" w:eastAsia="Times New Roman"/>
          <w:color w:val="auto"/>
          <w:spacing w:val="0"/>
          <w:position w:val="0"/>
          <w:sz w:val="24"/>
          <w:shd w:fill="auto" w:val="clear"/>
        </w:rPr>
        <w:tab/>
        <w:t xml:space="preserve">679</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ЗЛАТОГРАД</w:t>
      </w:r>
      <w:r>
        <w:rPr>
          <w:rFonts w:ascii="Times New Roman" w:hAnsi="Times New Roman" w:cs="Times New Roman" w:eastAsia="Times New Roman"/>
          <w:color w:val="auto"/>
          <w:spacing w:val="0"/>
          <w:position w:val="0"/>
          <w:sz w:val="24"/>
          <w:shd w:fill="auto" w:val="clear"/>
        </w:rPr>
        <w:tab/>
        <w:t xml:space="preserve">681</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МАДАН</w:t>
      </w:r>
      <w:r>
        <w:rPr>
          <w:rFonts w:ascii="Times New Roman" w:hAnsi="Times New Roman" w:cs="Times New Roman" w:eastAsia="Times New Roman"/>
          <w:color w:val="auto"/>
          <w:spacing w:val="0"/>
          <w:position w:val="0"/>
          <w:sz w:val="24"/>
          <w:shd w:fill="auto" w:val="clear"/>
        </w:rPr>
        <w:tab/>
        <w:t xml:space="preserve">683</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НЕДЕЛИНО</w:t>
      </w:r>
      <w:r>
        <w:rPr>
          <w:rFonts w:ascii="Times New Roman" w:hAnsi="Times New Roman" w:cs="Times New Roman" w:eastAsia="Times New Roman"/>
          <w:color w:val="auto"/>
          <w:spacing w:val="0"/>
          <w:position w:val="0"/>
          <w:sz w:val="24"/>
          <w:shd w:fill="auto" w:val="clear"/>
        </w:rPr>
        <w:tab/>
        <w:t xml:space="preserve">685</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РУДОЗЕМ</w:t>
      </w:r>
      <w:r>
        <w:rPr>
          <w:rFonts w:ascii="Times New Roman" w:hAnsi="Times New Roman" w:cs="Times New Roman" w:eastAsia="Times New Roman"/>
          <w:color w:val="auto"/>
          <w:spacing w:val="0"/>
          <w:position w:val="0"/>
          <w:sz w:val="24"/>
          <w:shd w:fill="auto" w:val="clear"/>
        </w:rPr>
        <w:tab/>
        <w:t xml:space="preserve">688</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СМОЛЯН</w:t>
      </w:r>
      <w:r>
        <w:rPr>
          <w:rFonts w:ascii="Times New Roman" w:hAnsi="Times New Roman" w:cs="Times New Roman" w:eastAsia="Times New Roman"/>
          <w:color w:val="auto"/>
          <w:spacing w:val="0"/>
          <w:position w:val="0"/>
          <w:sz w:val="24"/>
          <w:shd w:fill="auto" w:val="clear"/>
        </w:rPr>
        <w:tab/>
        <w:t xml:space="preserve">690</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ЧЕПЕЛАРЕ</w:t>
      </w:r>
      <w:r>
        <w:rPr>
          <w:rFonts w:ascii="Times New Roman" w:hAnsi="Times New Roman" w:cs="Times New Roman" w:eastAsia="Times New Roman"/>
          <w:color w:val="auto"/>
          <w:spacing w:val="0"/>
          <w:position w:val="0"/>
          <w:sz w:val="24"/>
          <w:shd w:fill="auto" w:val="clear"/>
        </w:rPr>
        <w:tab/>
        <w:t xml:space="preserve">692</w:t>
      </w:r>
    </w:p>
    <w:p>
      <w:pPr>
        <w:tabs>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АНАЛИЗ НА ПОТРЕБНОСТИТЕ В ОБЛАСТ СМОЛЯН (обобщено)</w:t>
      </w:r>
      <w:r>
        <w:rPr>
          <w:rFonts w:ascii="Times New Roman" w:hAnsi="Times New Roman" w:cs="Times New Roman" w:eastAsia="Times New Roman"/>
          <w:color w:val="auto"/>
          <w:spacing w:val="0"/>
          <w:position w:val="0"/>
          <w:sz w:val="24"/>
          <w:shd w:fill="auto" w:val="clear"/>
        </w:rPr>
        <w:tab/>
        <w:t xml:space="preserve">693</w:t>
      </w:r>
    </w:p>
    <w:p>
      <w:pPr>
        <w:tabs>
          <w:tab w:val="left" w:pos="88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7.5</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ОБЛАСТ КЪРДЖАЛИ</w:t>
      </w:r>
      <w:r>
        <w:rPr>
          <w:rFonts w:ascii="Times New Roman" w:hAnsi="Times New Roman" w:cs="Times New Roman" w:eastAsia="Times New Roman"/>
          <w:color w:val="auto"/>
          <w:spacing w:val="0"/>
          <w:position w:val="0"/>
          <w:sz w:val="24"/>
          <w:shd w:fill="auto" w:val="clear"/>
        </w:rPr>
        <w:tab/>
        <w:t xml:space="preserve">699</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АРДИНО</w:t>
      </w:r>
      <w:r>
        <w:rPr>
          <w:rFonts w:ascii="Times New Roman" w:hAnsi="Times New Roman" w:cs="Times New Roman" w:eastAsia="Times New Roman"/>
          <w:color w:val="auto"/>
          <w:spacing w:val="0"/>
          <w:position w:val="0"/>
          <w:sz w:val="24"/>
          <w:shd w:fill="auto" w:val="clear"/>
        </w:rPr>
        <w:tab/>
        <w:t xml:space="preserve">699</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ДЖЕБЕЛ</w:t>
      </w:r>
      <w:r>
        <w:rPr>
          <w:rFonts w:ascii="Times New Roman" w:hAnsi="Times New Roman" w:cs="Times New Roman" w:eastAsia="Times New Roman"/>
          <w:color w:val="auto"/>
          <w:spacing w:val="0"/>
          <w:position w:val="0"/>
          <w:sz w:val="24"/>
          <w:shd w:fill="auto" w:val="clear"/>
        </w:rPr>
        <w:tab/>
        <w:t xml:space="preserve">701</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1.1.3 </w:t>
      </w:r>
      <w:r>
        <w:rPr>
          <w:rFonts w:ascii="Times New Roman" w:hAnsi="Times New Roman" w:cs="Times New Roman" w:eastAsia="Times New Roman"/>
          <w:color w:val="0000FF"/>
          <w:spacing w:val="0"/>
          <w:position w:val="0"/>
          <w:sz w:val="24"/>
          <w:u w:val="single"/>
          <w:shd w:fill="auto" w:val="clear"/>
        </w:rPr>
        <w:t xml:space="preserve">ОБЩИНА КИРКОВО</w:t>
      </w:r>
      <w:r>
        <w:rPr>
          <w:rFonts w:ascii="Times New Roman" w:hAnsi="Times New Roman" w:cs="Times New Roman" w:eastAsia="Times New Roman"/>
          <w:color w:val="auto"/>
          <w:spacing w:val="0"/>
          <w:position w:val="0"/>
          <w:sz w:val="24"/>
          <w:shd w:fill="auto" w:val="clear"/>
        </w:rPr>
        <w:tab/>
        <w:t xml:space="preserve">703</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КРУМОВГРАД</w:t>
      </w:r>
      <w:r>
        <w:rPr>
          <w:rFonts w:ascii="Times New Roman" w:hAnsi="Times New Roman" w:cs="Times New Roman" w:eastAsia="Times New Roman"/>
          <w:color w:val="auto"/>
          <w:spacing w:val="0"/>
          <w:position w:val="0"/>
          <w:sz w:val="24"/>
          <w:shd w:fill="auto" w:val="clear"/>
        </w:rPr>
        <w:tab/>
        <w:t xml:space="preserve">705</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КЪРДЖАЛИ</w:t>
      </w:r>
      <w:r>
        <w:rPr>
          <w:rFonts w:ascii="Times New Roman" w:hAnsi="Times New Roman" w:cs="Times New Roman" w:eastAsia="Times New Roman"/>
          <w:color w:val="auto"/>
          <w:spacing w:val="0"/>
          <w:position w:val="0"/>
          <w:sz w:val="24"/>
          <w:shd w:fill="auto" w:val="clear"/>
        </w:rPr>
        <w:tab/>
        <w:t xml:space="preserve">707</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МОМЧИЛГРАД</w:t>
      </w:r>
      <w:r>
        <w:rPr>
          <w:rFonts w:ascii="Times New Roman" w:hAnsi="Times New Roman" w:cs="Times New Roman" w:eastAsia="Times New Roman"/>
          <w:color w:val="auto"/>
          <w:spacing w:val="0"/>
          <w:position w:val="0"/>
          <w:sz w:val="24"/>
          <w:shd w:fill="auto" w:val="clear"/>
        </w:rPr>
        <w:tab/>
        <w:t xml:space="preserve">709</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ОБЩИНА ЧЕРНООЧЕНЕ</w:t>
      </w:r>
      <w:r>
        <w:rPr>
          <w:rFonts w:ascii="Times New Roman" w:hAnsi="Times New Roman" w:cs="Times New Roman" w:eastAsia="Times New Roman"/>
          <w:color w:val="auto"/>
          <w:spacing w:val="0"/>
          <w:position w:val="0"/>
          <w:sz w:val="24"/>
          <w:shd w:fill="auto" w:val="clear"/>
        </w:rPr>
        <w:tab/>
        <w:t xml:space="preserve">711</w:t>
      </w:r>
    </w:p>
    <w:p>
      <w:pPr>
        <w:tabs>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АНАЛИЗ НА ПОТРЕБНОСТИТЕ В ОБЛАСТ КЪРДЖАЛИ (обобщено)</w:t>
      </w:r>
      <w:r>
        <w:rPr>
          <w:rFonts w:ascii="Times New Roman" w:hAnsi="Times New Roman" w:cs="Times New Roman" w:eastAsia="Times New Roman"/>
          <w:color w:val="auto"/>
          <w:spacing w:val="0"/>
          <w:position w:val="0"/>
          <w:sz w:val="24"/>
          <w:shd w:fill="auto" w:val="clear"/>
        </w:rPr>
        <w:tab/>
        <w:t xml:space="preserve">712</w:t>
      </w:r>
    </w:p>
    <w:p>
      <w:pPr>
        <w:tabs>
          <w:tab w:val="left" w:pos="480" w:leader="none"/>
          <w:tab w:val="right" w:pos="9060" w:leader="dot"/>
        </w:tabs>
        <w:spacing w:before="0" w:after="60" w:line="240"/>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8</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Обобщение и изводи. Препоръки</w:t>
      </w:r>
      <w:r>
        <w:rPr>
          <w:rFonts w:ascii="Times New Roman" w:hAnsi="Times New Roman" w:cs="Times New Roman" w:eastAsia="Times New Roman"/>
          <w:color w:val="auto"/>
          <w:spacing w:val="0"/>
          <w:position w:val="0"/>
          <w:sz w:val="24"/>
          <w:shd w:fill="auto" w:val="clear"/>
        </w:rPr>
        <w:tab/>
        <w:t xml:space="preserve">718</w:t>
      </w:r>
    </w:p>
    <w:p>
      <w:pPr>
        <w:tabs>
          <w:tab w:val="left" w:pos="88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8.1</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Обобщение</w:t>
      </w:r>
      <w:r>
        <w:rPr>
          <w:rFonts w:ascii="Times New Roman" w:hAnsi="Times New Roman" w:cs="Times New Roman" w:eastAsia="Times New Roman"/>
          <w:color w:val="auto"/>
          <w:spacing w:val="0"/>
          <w:position w:val="0"/>
          <w:sz w:val="24"/>
          <w:shd w:fill="auto" w:val="clear"/>
        </w:rPr>
        <w:tab/>
        <w:t xml:space="preserve">718</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Демографска картина</w:t>
      </w:r>
      <w:r>
        <w:rPr>
          <w:rFonts w:ascii="Times New Roman" w:hAnsi="Times New Roman" w:cs="Times New Roman" w:eastAsia="Times New Roman"/>
          <w:color w:val="auto"/>
          <w:spacing w:val="0"/>
          <w:position w:val="0"/>
          <w:sz w:val="24"/>
          <w:shd w:fill="auto" w:val="clear"/>
        </w:rPr>
        <w:tab/>
        <w:t xml:space="preserve">719</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Социални услуги</w:t>
      </w:r>
      <w:r>
        <w:rPr>
          <w:rFonts w:ascii="Times New Roman" w:hAnsi="Times New Roman" w:cs="Times New Roman" w:eastAsia="Times New Roman"/>
          <w:color w:val="auto"/>
          <w:spacing w:val="0"/>
          <w:position w:val="0"/>
          <w:sz w:val="24"/>
          <w:shd w:fill="auto" w:val="clear"/>
        </w:rPr>
        <w:tab/>
        <w:t xml:space="preserve">722</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Приемна  грижа и Домове за медико социални грижи за деца</w:t>
      </w:r>
      <w:r>
        <w:rPr>
          <w:rFonts w:ascii="Times New Roman" w:hAnsi="Times New Roman" w:cs="Times New Roman" w:eastAsia="Times New Roman"/>
          <w:color w:val="auto"/>
          <w:spacing w:val="0"/>
          <w:position w:val="0"/>
          <w:sz w:val="24"/>
          <w:shd w:fill="auto" w:val="clear"/>
        </w:rPr>
        <w:tab/>
        <w:t xml:space="preserve">727</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Персонал в социалните услуги</w:t>
      </w:r>
      <w:r>
        <w:rPr>
          <w:rFonts w:ascii="Times New Roman" w:hAnsi="Times New Roman" w:cs="Times New Roman" w:eastAsia="Times New Roman"/>
          <w:color w:val="auto"/>
          <w:spacing w:val="0"/>
          <w:position w:val="0"/>
          <w:sz w:val="24"/>
          <w:shd w:fill="auto" w:val="clear"/>
        </w:rPr>
        <w:tab/>
        <w:t xml:space="preserve">728</w:t>
      </w:r>
    </w:p>
    <w:p>
      <w:pPr>
        <w:tabs>
          <w:tab w:val="left" w:pos="88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8.2</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Изводи от анализа по области</w:t>
      </w:r>
      <w:r>
        <w:rPr>
          <w:rFonts w:ascii="Times New Roman" w:hAnsi="Times New Roman" w:cs="Times New Roman" w:eastAsia="Times New Roman"/>
          <w:color w:val="auto"/>
          <w:spacing w:val="0"/>
          <w:position w:val="0"/>
          <w:sz w:val="24"/>
          <w:shd w:fill="auto" w:val="clear"/>
        </w:rPr>
        <w:tab/>
        <w:t xml:space="preserve">729</w:t>
      </w:r>
    </w:p>
    <w:p>
      <w:pPr>
        <w:tabs>
          <w:tab w:val="left" w:pos="880" w:leader="none"/>
          <w:tab w:val="right" w:pos="9060" w:leader="dot"/>
        </w:tabs>
        <w:spacing w:before="0" w:after="60" w:line="240"/>
        <w:ind w:right="0" w:left="24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8.3</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Препоръки</w:t>
      </w:r>
      <w:r>
        <w:rPr>
          <w:rFonts w:ascii="Times New Roman" w:hAnsi="Times New Roman" w:cs="Times New Roman" w:eastAsia="Times New Roman"/>
          <w:color w:val="auto"/>
          <w:spacing w:val="0"/>
          <w:position w:val="0"/>
          <w:sz w:val="24"/>
          <w:shd w:fill="auto" w:val="clear"/>
        </w:rPr>
        <w:tab/>
        <w:t xml:space="preserve">743</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По отношение на социалните услуги</w:t>
      </w:r>
      <w:r>
        <w:rPr>
          <w:rFonts w:ascii="Times New Roman" w:hAnsi="Times New Roman" w:cs="Times New Roman" w:eastAsia="Times New Roman"/>
          <w:color w:val="auto"/>
          <w:spacing w:val="0"/>
          <w:position w:val="0"/>
          <w:sz w:val="24"/>
          <w:shd w:fill="auto" w:val="clear"/>
        </w:rPr>
        <w:tab/>
        <w:t xml:space="preserve">743</w:t>
      </w:r>
    </w:p>
    <w:p>
      <w:pPr>
        <w:tabs>
          <w:tab w:val="left" w:pos="1320" w:leader="none"/>
          <w:tab w:val="right" w:pos="9060" w:leader="dot"/>
        </w:tabs>
        <w:spacing w:before="0" w:after="60" w:line="240"/>
        <w:ind w:right="0" w:left="48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По отношение на персонала</w:t>
      </w:r>
      <w:r>
        <w:rPr>
          <w:rFonts w:ascii="Times New Roman" w:hAnsi="Times New Roman" w:cs="Times New Roman" w:eastAsia="Times New Roman"/>
          <w:color w:val="auto"/>
          <w:spacing w:val="0"/>
          <w:position w:val="0"/>
          <w:sz w:val="24"/>
          <w:shd w:fill="auto" w:val="clear"/>
        </w:rPr>
        <w:tab/>
        <w:t xml:space="preserve">745</w:t>
      </w:r>
    </w:p>
    <w:p>
      <w:pPr>
        <w:tabs>
          <w:tab w:val="left" w:pos="480" w:leader="none"/>
          <w:tab w:val="right" w:pos="9060" w:leader="dot"/>
        </w:tabs>
        <w:spacing w:before="0" w:after="60" w:line="240"/>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9</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0000FF"/>
          <w:spacing w:val="0"/>
          <w:position w:val="0"/>
          <w:sz w:val="24"/>
          <w:u w:val="single"/>
          <w:shd w:fill="auto" w:val="clear"/>
        </w:rPr>
        <w:t xml:space="preserve">Заключение</w:t>
      </w:r>
      <w:r>
        <w:rPr>
          <w:rFonts w:ascii="Times New Roman" w:hAnsi="Times New Roman" w:cs="Times New Roman" w:eastAsia="Times New Roman"/>
          <w:color w:val="auto"/>
          <w:spacing w:val="0"/>
          <w:position w:val="0"/>
          <w:sz w:val="24"/>
          <w:shd w:fill="auto" w:val="clear"/>
        </w:rPr>
        <w:tab/>
        <w:t xml:space="preserve">745</w:t>
      </w:r>
    </w:p>
    <w:p>
      <w:pPr>
        <w:tabs>
          <w:tab w:val="left" w:pos="480" w:leader="none"/>
          <w:tab w:val="right" w:pos="9062" w:leader="dot"/>
        </w:tabs>
        <w:spacing w:before="0" w:after="6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60" w:line="240"/>
        <w:ind w:right="0" w:left="0" w:firstLine="0"/>
        <w:jc w:val="both"/>
        <w:rPr>
          <w:rFonts w:ascii="Times New Roman" w:hAnsi="Times New Roman" w:cs="Times New Roman" w:eastAsia="Times New Roman"/>
          <w:b/>
          <w:color w:val="auto"/>
          <w:spacing w:val="0"/>
          <w:position w:val="4"/>
          <w:sz w:val="28"/>
          <w:shd w:fill="auto" w:val="clear"/>
        </w:rPr>
      </w:pPr>
      <w:r>
        <w:rPr>
          <w:rFonts w:ascii="Times New Roman" w:hAnsi="Times New Roman" w:cs="Times New Roman" w:eastAsia="Times New Roman"/>
          <w:b/>
          <w:color w:val="auto"/>
          <w:spacing w:val="0"/>
          <w:position w:val="4"/>
          <w:sz w:val="28"/>
          <w:shd w:fill="auto" w:val="clear"/>
        </w:rPr>
        <w:t xml:space="preserve">Използвани съкращения (абревиатури).</w:t>
      </w:r>
    </w:p>
    <w:tbl>
      <w:tblPr/>
      <w:tblGrid>
        <w:gridCol w:w="2059"/>
        <w:gridCol w:w="7001"/>
      </w:tblGrid>
      <w:tr>
        <w:trPr>
          <w:trHeight w:val="340" w:hRule="auto"/>
          <w:jc w:val="left"/>
        </w:trPr>
        <w:tc>
          <w:tcPr>
            <w:tcW w:w="20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АСП</w:t>
            </w:r>
          </w:p>
        </w:tc>
        <w:tc>
          <w:tcPr>
            <w:tcW w:w="7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Агенция за социално подпомагане</w:t>
            </w:r>
          </w:p>
        </w:tc>
      </w:tr>
      <w:tr>
        <w:trPr>
          <w:trHeight w:val="340" w:hRule="auto"/>
          <w:jc w:val="left"/>
        </w:trPr>
        <w:tc>
          <w:tcPr>
            <w:tcW w:w="20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АХУ</w:t>
            </w:r>
          </w:p>
        </w:tc>
        <w:tc>
          <w:tcPr>
            <w:tcW w:w="7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Агенция за хората с увреждания</w:t>
            </w:r>
          </w:p>
        </w:tc>
      </w:tr>
      <w:tr>
        <w:trPr>
          <w:trHeight w:val="340" w:hRule="auto"/>
          <w:jc w:val="left"/>
        </w:trPr>
        <w:tc>
          <w:tcPr>
            <w:tcW w:w="20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АП</w:t>
            </w:r>
          </w:p>
        </w:tc>
        <w:tc>
          <w:tcPr>
            <w:tcW w:w="7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Асистентска подкрепа</w:t>
            </w:r>
          </w:p>
        </w:tc>
      </w:tr>
      <w:tr>
        <w:trPr>
          <w:trHeight w:val="340" w:hRule="auto"/>
          <w:jc w:val="left"/>
        </w:trPr>
        <w:tc>
          <w:tcPr>
            <w:tcW w:w="20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ДМСГД</w:t>
            </w:r>
          </w:p>
        </w:tc>
        <w:tc>
          <w:tcPr>
            <w:tcW w:w="7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Дом за медико социални грижи за деца</w:t>
            </w:r>
          </w:p>
        </w:tc>
      </w:tr>
      <w:tr>
        <w:trPr>
          <w:trHeight w:val="340" w:hRule="auto"/>
          <w:jc w:val="left"/>
        </w:trPr>
        <w:tc>
          <w:tcPr>
            <w:tcW w:w="20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ДПБ</w:t>
            </w:r>
          </w:p>
        </w:tc>
        <w:tc>
          <w:tcPr>
            <w:tcW w:w="7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Държавните психиатрични болници </w:t>
            </w:r>
          </w:p>
        </w:tc>
      </w:tr>
      <w:tr>
        <w:trPr>
          <w:trHeight w:val="340" w:hRule="auto"/>
          <w:jc w:val="left"/>
        </w:trPr>
        <w:tc>
          <w:tcPr>
            <w:tcW w:w="20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ДСП</w:t>
            </w:r>
          </w:p>
        </w:tc>
        <w:tc>
          <w:tcPr>
            <w:tcW w:w="7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Дирекция </w:t>
            </w:r>
            <w:r>
              <w:rPr>
                <w:rFonts w:ascii="Times New Roman" w:hAnsi="Times New Roman" w:cs="Times New Roman" w:eastAsia="Times New Roman"/>
                <w:color w:val="auto"/>
                <w:spacing w:val="0"/>
                <w:position w:val="4"/>
                <w:sz w:val="24"/>
                <w:shd w:fill="auto" w:val="clear"/>
              </w:rPr>
              <w:t xml:space="preserve">„</w:t>
            </w:r>
            <w:r>
              <w:rPr>
                <w:rFonts w:ascii="Times New Roman" w:hAnsi="Times New Roman" w:cs="Times New Roman" w:eastAsia="Times New Roman"/>
                <w:color w:val="auto"/>
                <w:spacing w:val="0"/>
                <w:position w:val="4"/>
                <w:sz w:val="24"/>
                <w:shd w:fill="auto" w:val="clear"/>
              </w:rPr>
              <w:t xml:space="preserve">Социално подпомагане”</w:t>
            </w:r>
          </w:p>
        </w:tc>
      </w:tr>
      <w:tr>
        <w:trPr>
          <w:trHeight w:val="340" w:hRule="auto"/>
          <w:jc w:val="left"/>
        </w:trPr>
        <w:tc>
          <w:tcPr>
            <w:tcW w:w="20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ДЦ</w:t>
            </w:r>
          </w:p>
        </w:tc>
        <w:tc>
          <w:tcPr>
            <w:tcW w:w="7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Дневен център</w:t>
            </w:r>
          </w:p>
        </w:tc>
      </w:tr>
      <w:tr>
        <w:trPr>
          <w:trHeight w:val="340" w:hRule="auto"/>
          <w:jc w:val="left"/>
        </w:trPr>
        <w:tc>
          <w:tcPr>
            <w:tcW w:w="20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ЗЖ</w:t>
            </w:r>
          </w:p>
        </w:tc>
        <w:tc>
          <w:tcPr>
            <w:tcW w:w="7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Защитено жилище</w:t>
            </w:r>
          </w:p>
        </w:tc>
      </w:tr>
      <w:tr>
        <w:trPr>
          <w:trHeight w:val="340" w:hRule="auto"/>
          <w:jc w:val="left"/>
        </w:trPr>
        <w:tc>
          <w:tcPr>
            <w:tcW w:w="20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ЗСУ</w:t>
            </w:r>
          </w:p>
        </w:tc>
        <w:tc>
          <w:tcPr>
            <w:tcW w:w="7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Закон за социалните услуги</w:t>
            </w:r>
          </w:p>
        </w:tc>
      </w:tr>
      <w:tr>
        <w:trPr>
          <w:trHeight w:val="340" w:hRule="auto"/>
          <w:jc w:val="left"/>
        </w:trPr>
        <w:tc>
          <w:tcPr>
            <w:tcW w:w="20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ИЗСУ</w:t>
            </w:r>
          </w:p>
        </w:tc>
        <w:tc>
          <w:tcPr>
            <w:tcW w:w="7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Интегрирани здравно социални услуги</w:t>
            </w:r>
          </w:p>
        </w:tc>
      </w:tr>
      <w:tr>
        <w:trPr>
          <w:trHeight w:val="340" w:hRule="auto"/>
          <w:jc w:val="left"/>
        </w:trPr>
        <w:tc>
          <w:tcPr>
            <w:tcW w:w="20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Картата</w:t>
            </w:r>
          </w:p>
        </w:tc>
        <w:tc>
          <w:tcPr>
            <w:tcW w:w="7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Национална карта на социалните услуги</w:t>
            </w:r>
          </w:p>
        </w:tc>
      </w:tr>
      <w:tr>
        <w:trPr>
          <w:trHeight w:val="340" w:hRule="auto"/>
          <w:jc w:val="left"/>
        </w:trPr>
        <w:tc>
          <w:tcPr>
            <w:tcW w:w="20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КЦ</w:t>
            </w:r>
          </w:p>
        </w:tc>
        <w:tc>
          <w:tcPr>
            <w:tcW w:w="7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Кризисен център</w:t>
            </w:r>
          </w:p>
        </w:tc>
      </w:tr>
      <w:tr>
        <w:trPr>
          <w:trHeight w:val="340" w:hRule="auto"/>
          <w:jc w:val="left"/>
        </w:trPr>
        <w:tc>
          <w:tcPr>
            <w:tcW w:w="20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НКСУ</w:t>
            </w:r>
          </w:p>
        </w:tc>
        <w:tc>
          <w:tcPr>
            <w:tcW w:w="7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Наредба за качеството на социалните услуги</w:t>
            </w:r>
          </w:p>
        </w:tc>
      </w:tr>
      <w:tr>
        <w:trPr>
          <w:trHeight w:val="340" w:hRule="auto"/>
          <w:jc w:val="left"/>
        </w:trPr>
        <w:tc>
          <w:tcPr>
            <w:tcW w:w="20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МТСП</w:t>
            </w:r>
          </w:p>
        </w:tc>
        <w:tc>
          <w:tcPr>
            <w:tcW w:w="7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Министерството на труда и социалната политика</w:t>
            </w:r>
          </w:p>
        </w:tc>
      </w:tr>
      <w:tr>
        <w:trPr>
          <w:trHeight w:val="340" w:hRule="auto"/>
          <w:jc w:val="left"/>
        </w:trPr>
        <w:tc>
          <w:tcPr>
            <w:tcW w:w="20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НПСУ</w:t>
            </w:r>
          </w:p>
        </w:tc>
        <w:tc>
          <w:tcPr>
            <w:tcW w:w="7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Наредбата за планирането на социалните услуги</w:t>
            </w:r>
          </w:p>
        </w:tc>
      </w:tr>
      <w:tr>
        <w:trPr>
          <w:trHeight w:val="340" w:hRule="auto"/>
          <w:jc w:val="left"/>
        </w:trPr>
        <w:tc>
          <w:tcPr>
            <w:tcW w:w="20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НОИ</w:t>
            </w:r>
          </w:p>
        </w:tc>
        <w:tc>
          <w:tcPr>
            <w:tcW w:w="7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Национален осигурителен институт </w:t>
            </w:r>
          </w:p>
        </w:tc>
      </w:tr>
      <w:tr>
        <w:trPr>
          <w:trHeight w:val="340" w:hRule="auto"/>
          <w:jc w:val="left"/>
        </w:trPr>
        <w:tc>
          <w:tcPr>
            <w:tcW w:w="20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НСИ</w:t>
            </w:r>
          </w:p>
        </w:tc>
        <w:tc>
          <w:tcPr>
            <w:tcW w:w="7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Национален статистически институт</w:t>
            </w:r>
          </w:p>
        </w:tc>
      </w:tr>
      <w:tr>
        <w:trPr>
          <w:trHeight w:val="340" w:hRule="auto"/>
          <w:jc w:val="left"/>
        </w:trPr>
        <w:tc>
          <w:tcPr>
            <w:tcW w:w="20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НЖ</w:t>
            </w:r>
          </w:p>
        </w:tc>
        <w:tc>
          <w:tcPr>
            <w:tcW w:w="7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Наблюдавано жилище</w:t>
            </w:r>
          </w:p>
        </w:tc>
      </w:tr>
      <w:tr>
        <w:trPr>
          <w:trHeight w:val="340" w:hRule="auto"/>
          <w:jc w:val="left"/>
        </w:trPr>
        <w:tc>
          <w:tcPr>
            <w:tcW w:w="20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ОП РЧР</w:t>
            </w:r>
          </w:p>
        </w:tc>
        <w:tc>
          <w:tcPr>
            <w:tcW w:w="7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Оперативна програма </w:t>
            </w:r>
            <w:r>
              <w:rPr>
                <w:rFonts w:ascii="Times New Roman" w:hAnsi="Times New Roman" w:cs="Times New Roman" w:eastAsia="Times New Roman"/>
                <w:color w:val="auto"/>
                <w:spacing w:val="0"/>
                <w:position w:val="4"/>
                <w:sz w:val="24"/>
                <w:shd w:fill="auto" w:val="clear"/>
              </w:rPr>
              <w:t xml:space="preserve">„</w:t>
            </w:r>
            <w:r>
              <w:rPr>
                <w:rFonts w:ascii="Times New Roman" w:hAnsi="Times New Roman" w:cs="Times New Roman" w:eastAsia="Times New Roman"/>
                <w:color w:val="auto"/>
                <w:spacing w:val="0"/>
                <w:position w:val="4"/>
                <w:sz w:val="24"/>
                <w:shd w:fill="auto" w:val="clear"/>
              </w:rPr>
              <w:t xml:space="preserve">Развитие на човешките ресурси”</w:t>
            </w:r>
          </w:p>
        </w:tc>
      </w:tr>
      <w:tr>
        <w:trPr>
          <w:trHeight w:val="340" w:hRule="auto"/>
          <w:jc w:val="left"/>
        </w:trPr>
        <w:tc>
          <w:tcPr>
            <w:tcW w:w="20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ПЖ</w:t>
            </w:r>
          </w:p>
        </w:tc>
        <w:tc>
          <w:tcPr>
            <w:tcW w:w="7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Преходно жилище</w:t>
            </w:r>
          </w:p>
        </w:tc>
      </w:tr>
      <w:tr>
        <w:trPr>
          <w:trHeight w:val="340" w:hRule="auto"/>
          <w:jc w:val="left"/>
        </w:trPr>
        <w:tc>
          <w:tcPr>
            <w:tcW w:w="20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ПР</w:t>
            </w:r>
          </w:p>
        </w:tc>
        <w:tc>
          <w:tcPr>
            <w:tcW w:w="7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Психични разстройства</w:t>
            </w:r>
          </w:p>
        </w:tc>
      </w:tr>
      <w:tr>
        <w:trPr>
          <w:trHeight w:val="340" w:hRule="auto"/>
          <w:jc w:val="left"/>
        </w:trPr>
        <w:tc>
          <w:tcPr>
            <w:tcW w:w="20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РДСП</w:t>
            </w:r>
          </w:p>
        </w:tc>
        <w:tc>
          <w:tcPr>
            <w:tcW w:w="7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Регионална дирекция за социално подпомагане</w:t>
            </w:r>
          </w:p>
        </w:tc>
      </w:tr>
      <w:tr>
        <w:trPr>
          <w:trHeight w:val="340" w:hRule="auto"/>
          <w:jc w:val="left"/>
        </w:trPr>
        <w:tc>
          <w:tcPr>
            <w:tcW w:w="20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РЗИ</w:t>
            </w:r>
          </w:p>
        </w:tc>
        <w:tc>
          <w:tcPr>
            <w:tcW w:w="7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Регионални здравни инспекции</w:t>
            </w:r>
          </w:p>
        </w:tc>
      </w:tr>
      <w:tr>
        <w:trPr>
          <w:trHeight w:val="340" w:hRule="auto"/>
          <w:jc w:val="left"/>
        </w:trPr>
        <w:tc>
          <w:tcPr>
            <w:tcW w:w="20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РЗОК</w:t>
            </w:r>
          </w:p>
        </w:tc>
        <w:tc>
          <w:tcPr>
            <w:tcW w:w="7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Регионални здравноосигурителни каси</w:t>
            </w:r>
          </w:p>
        </w:tc>
      </w:tr>
      <w:tr>
        <w:trPr>
          <w:trHeight w:val="340" w:hRule="auto"/>
          <w:jc w:val="left"/>
        </w:trPr>
        <w:tc>
          <w:tcPr>
            <w:tcW w:w="20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РУО на МОН</w:t>
            </w:r>
          </w:p>
        </w:tc>
        <w:tc>
          <w:tcPr>
            <w:tcW w:w="7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Регионални управления на образованието към Министерство на образованието и науката</w:t>
            </w:r>
          </w:p>
        </w:tc>
      </w:tr>
      <w:tr>
        <w:trPr>
          <w:trHeight w:val="340" w:hRule="auto"/>
          <w:jc w:val="left"/>
        </w:trPr>
        <w:tc>
          <w:tcPr>
            <w:tcW w:w="20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СА</w:t>
            </w:r>
          </w:p>
        </w:tc>
        <w:tc>
          <w:tcPr>
            <w:tcW w:w="7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left"/>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Социален асистент</w:t>
            </w:r>
          </w:p>
        </w:tc>
      </w:tr>
      <w:tr>
        <w:trPr>
          <w:trHeight w:val="340" w:hRule="auto"/>
          <w:jc w:val="left"/>
        </w:trPr>
        <w:tc>
          <w:tcPr>
            <w:tcW w:w="20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СИ</w:t>
            </w:r>
          </w:p>
        </w:tc>
        <w:tc>
          <w:tcPr>
            <w:tcW w:w="7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left"/>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Специализирана институция</w:t>
            </w:r>
          </w:p>
        </w:tc>
      </w:tr>
      <w:tr>
        <w:trPr>
          <w:trHeight w:val="340" w:hRule="auto"/>
          <w:jc w:val="left"/>
        </w:trPr>
        <w:tc>
          <w:tcPr>
            <w:tcW w:w="20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СОУ</w:t>
            </w:r>
          </w:p>
        </w:tc>
        <w:tc>
          <w:tcPr>
            <w:tcW w:w="7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left"/>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Съвет по управление и организация</w:t>
            </w:r>
          </w:p>
        </w:tc>
      </w:tr>
      <w:tr>
        <w:trPr>
          <w:trHeight w:val="340" w:hRule="auto"/>
          <w:jc w:val="left"/>
        </w:trPr>
        <w:tc>
          <w:tcPr>
            <w:tcW w:w="20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СУ</w:t>
            </w:r>
          </w:p>
        </w:tc>
        <w:tc>
          <w:tcPr>
            <w:tcW w:w="7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left"/>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Социална услуга</w:t>
            </w:r>
          </w:p>
        </w:tc>
      </w:tr>
      <w:tr>
        <w:trPr>
          <w:trHeight w:val="340" w:hRule="auto"/>
          <w:jc w:val="left"/>
        </w:trPr>
        <w:tc>
          <w:tcPr>
            <w:tcW w:w="20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УИ</w:t>
            </w:r>
          </w:p>
        </w:tc>
        <w:tc>
          <w:tcPr>
            <w:tcW w:w="7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left"/>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Умствена изостаналост</w:t>
            </w:r>
          </w:p>
        </w:tc>
      </w:tr>
      <w:tr>
        <w:trPr>
          <w:trHeight w:val="340" w:hRule="auto"/>
          <w:jc w:val="left"/>
        </w:trPr>
        <w:tc>
          <w:tcPr>
            <w:tcW w:w="20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ФУ</w:t>
            </w:r>
          </w:p>
        </w:tc>
        <w:tc>
          <w:tcPr>
            <w:tcW w:w="7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left"/>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Физически увреждания</w:t>
            </w:r>
          </w:p>
        </w:tc>
      </w:tr>
      <w:tr>
        <w:trPr>
          <w:trHeight w:val="340" w:hRule="auto"/>
          <w:jc w:val="left"/>
        </w:trPr>
        <w:tc>
          <w:tcPr>
            <w:tcW w:w="20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ЦНСТ</w:t>
            </w:r>
          </w:p>
        </w:tc>
        <w:tc>
          <w:tcPr>
            <w:tcW w:w="7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Център за настаняване от семеен тип</w:t>
            </w:r>
          </w:p>
        </w:tc>
      </w:tr>
      <w:tr>
        <w:trPr>
          <w:trHeight w:val="340" w:hRule="auto"/>
          <w:jc w:val="left"/>
        </w:trPr>
        <w:tc>
          <w:tcPr>
            <w:tcW w:w="20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ЦНСТПЛД</w:t>
            </w:r>
          </w:p>
        </w:tc>
        <w:tc>
          <w:tcPr>
            <w:tcW w:w="7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Център за настаняване от семеен тип за пълнолетни лица с деменция</w:t>
            </w:r>
          </w:p>
        </w:tc>
      </w:tr>
      <w:tr>
        <w:trPr>
          <w:trHeight w:val="340" w:hRule="auto"/>
          <w:jc w:val="left"/>
        </w:trPr>
        <w:tc>
          <w:tcPr>
            <w:tcW w:w="20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7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Център за настаняване от семеен тип за пълнолетни лица с психични разстройства</w:t>
            </w:r>
          </w:p>
        </w:tc>
      </w:tr>
      <w:tr>
        <w:trPr>
          <w:trHeight w:val="340" w:hRule="auto"/>
          <w:jc w:val="left"/>
        </w:trPr>
        <w:tc>
          <w:tcPr>
            <w:tcW w:w="20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ЦНСТПЛФУ</w:t>
            </w:r>
          </w:p>
        </w:tc>
        <w:tc>
          <w:tcPr>
            <w:tcW w:w="7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Център за настаняване от семеен тип за пълнолетни лица с физически увреждания</w:t>
            </w:r>
          </w:p>
        </w:tc>
      </w:tr>
      <w:tr>
        <w:trPr>
          <w:trHeight w:val="340" w:hRule="auto"/>
          <w:jc w:val="left"/>
        </w:trPr>
        <w:tc>
          <w:tcPr>
            <w:tcW w:w="20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7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Център за настаняване от семеен тип за пълнолетни лица с умствена изостаналост</w:t>
            </w:r>
          </w:p>
        </w:tc>
      </w:tr>
      <w:tr>
        <w:trPr>
          <w:trHeight w:val="340" w:hRule="auto"/>
          <w:jc w:val="left"/>
        </w:trPr>
        <w:tc>
          <w:tcPr>
            <w:tcW w:w="20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7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Център за настаняване от семеен тип за деца без увреждания</w:t>
            </w:r>
          </w:p>
        </w:tc>
      </w:tr>
      <w:tr>
        <w:trPr>
          <w:trHeight w:val="340" w:hRule="auto"/>
          <w:jc w:val="left"/>
        </w:trPr>
        <w:tc>
          <w:tcPr>
            <w:tcW w:w="20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ЦНСТДМУППМГ</w:t>
            </w:r>
          </w:p>
        </w:tc>
        <w:tc>
          <w:tcPr>
            <w:tcW w:w="7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Център за настаняване от семеен тип за деца/младежи с увреждания с потребност от постоянни медицински грижи</w:t>
            </w:r>
          </w:p>
        </w:tc>
      </w:tr>
      <w:tr>
        <w:trPr>
          <w:trHeight w:val="340" w:hRule="auto"/>
          <w:jc w:val="left"/>
        </w:trPr>
        <w:tc>
          <w:tcPr>
            <w:tcW w:w="20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ЦСРИ</w:t>
            </w:r>
          </w:p>
        </w:tc>
        <w:tc>
          <w:tcPr>
            <w:tcW w:w="7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Център за рехабилитация и социална интеграция</w:t>
            </w:r>
          </w:p>
        </w:tc>
      </w:tr>
      <w:tr>
        <w:trPr>
          <w:trHeight w:val="340" w:hRule="auto"/>
          <w:jc w:val="left"/>
        </w:trPr>
        <w:tc>
          <w:tcPr>
            <w:tcW w:w="20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57"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ЦОП</w:t>
            </w:r>
          </w:p>
        </w:tc>
        <w:tc>
          <w:tcPr>
            <w:tcW w:w="7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57" w:left="0" w:firstLine="0"/>
              <w:jc w:val="both"/>
              <w:rPr>
                <w:color w:val="auto"/>
                <w:spacing w:val="0"/>
                <w:shd w:fill="auto" w:val="clear"/>
              </w:rPr>
            </w:pPr>
            <w:r>
              <w:rPr>
                <w:rFonts w:ascii="Times New Roman" w:hAnsi="Times New Roman" w:cs="Times New Roman" w:eastAsia="Times New Roman"/>
                <w:color w:val="auto"/>
                <w:spacing w:val="0"/>
                <w:position w:val="4"/>
                <w:sz w:val="24"/>
                <w:shd w:fill="auto" w:val="clear"/>
              </w:rPr>
              <w:t xml:space="preserve">Център за обществена подкрепа</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keepNext w:val="true"/>
        <w:spacing w:before="0" w:after="0" w:line="240"/>
        <w:ind w:right="0" w:left="0" w:firstLine="709"/>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Увод</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Със ЗСУ за първи път се въведе планиране на национално ниво на социалните услуги, финансирани от държавния бюджет, чрез разработване на Национална карта на социалните услуги. По този начин държавата пое ангажимент за създаване на пълна мрежа от социални услуги в цялата страна в дългосрочен план. Националното планиране е особено важно, тъй като то ще е основанието за определяне на пакета от социални услуги на ниво община и област, за които следва да се осигури финансиране от държавния бюджет. В картата ще се определи и максималният брой потребители на всички социални услуги, за които се осигурява изцяло или частично финансиране от държавния бюджет. Националната карта на социалните услуги ще се разработва въз основа на анализ на общините относно потребностите от социални услуги на общинско и областно ниво. В процесът на планиране водеща роля имат общинските администрации. Законът за социалните услуги (ЗСУ), с който се въвежда планирането на национално ниво на социалните услуги, финансирани изцяло или частично от държавния бюджет, определя ролята на общинските администрации при реализирането на този процес.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Съгласно законовите разпоредби до 12 месеца от публикуването на резултатите от преброяването на населението и жилищния фонд в Република България през 2021 г. се приема Националната карта на социалните услуги (Картата). След публикуването на първите демографски данни от преброяването на 03.10.2022 г. на електронната страница на Националния статистически институт (НСИ), всяка община следва да започне процес на планиране на социалните услуги по новия ред. Изхождайки от обстоятелството, че националното планиране е в основата за определяне на социалните услуги на ниво община и област, за които ще се осигури изцяло или частично финансиране от държавния бюджет, в Картата следва да се определи и максималния брой потребители на всички социални услуги, за които се осигурява изцяло или частично финансиране от държавния бюджет. Критериите за определяне на услугите и максималният брой потребители в Националната карта на социалните услуги са определени в Наредбата за планирането на социалните услуги (Наредбата), съобразно броя и демографския профил на населението.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чл. 35 от ЗСУ, законодателят е дефинирал начина, по който се разработва Националната карта на социалните услуги, а именно чрез:</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анализ на общините относно потребностите от социални услуги на общинско и областно ниво, които се финансират изцяло или частично от държавния бюджет;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предложения на общините в резултат на анализа по т. 1 за планирането на социалните услуги на общинско и областно ниво, които се финансират изцяло или частично от държавния бюджет.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Въз основа на анализите и предложенията на общините Агенцията за социално подпомагане (АСП) извършва анализ на потребностите на национално ниво от социални и интегрирани здравно-социални услуги, които се финансират изцяло или частично от държавния бюджет, и разработва предложение за Национална карта на социалните услуги.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Настоящият </w:t>
      </w:r>
      <w:r>
        <w:rPr>
          <w:rFonts w:ascii="Times New Roman" w:hAnsi="Times New Roman" w:cs="Times New Roman" w:eastAsia="Times New Roman"/>
          <w:color w:val="000000"/>
          <w:spacing w:val="0"/>
          <w:position w:val="0"/>
          <w:sz w:val="24"/>
          <w:shd w:fill="auto" w:val="clear"/>
        </w:rPr>
        <w:t xml:space="preserve">Анализ на потребностите на национално ниво от социални услуги и интегрирани здравно-социални услуги на общинско и областно ниво, които се финансират изцяло или частично от държавния бюджет </w:t>
      </w:r>
      <w:r>
        <w:rPr>
          <w:rFonts w:ascii="Times New Roman" w:hAnsi="Times New Roman" w:cs="Times New Roman" w:eastAsia="Times New Roman"/>
          <w:color w:val="auto"/>
          <w:spacing w:val="0"/>
          <w:position w:val="0"/>
          <w:sz w:val="24"/>
          <w:shd w:fill="auto" w:val="clear"/>
        </w:rPr>
        <w:t xml:space="preserve">е изготвен от отделите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Социални услуги за пълнолетни лица“ в Главна дирекция за социално подпомагане 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Социални услуги за деца“ в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Закрила на детето“ на Централно управление на АСП в изпълнение на чл. 44 от Наредбата за планиране на социалните услуги, приета с ПМС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133 </w:t>
      </w:r>
      <w:r>
        <w:rPr>
          <w:rFonts w:ascii="Times New Roman" w:hAnsi="Times New Roman" w:cs="Times New Roman" w:eastAsia="Times New Roman"/>
          <w:color w:val="auto"/>
          <w:spacing w:val="0"/>
          <w:position w:val="0"/>
          <w:sz w:val="24"/>
          <w:shd w:fill="auto" w:val="clear"/>
        </w:rPr>
        <w:t xml:space="preserve">от 6.04.2021 г., обн., ДВ, бр. 29 от 9.04.2021 г. Експертите от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Закрила на детето“ изготвиха анализа в частта, касаеща областите Стара Загора, Сливен, Ямбол, Бургас, Плевен и Монтана, като обобщиха данните за общините, ситуирани на тяхната  територията. Данните от общините от останалите 22 области са обработени от експертите в отдел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Социални услуги за пълнолетни лица“, както и общите части на документа.</w:t>
      </w:r>
    </w:p>
    <w:p>
      <w:pPr>
        <w:keepNext w:val="true"/>
        <w:numPr>
          <w:ilvl w:val="0"/>
          <w:numId w:val="212"/>
        </w:numPr>
        <w:tabs>
          <w:tab w:val="left" w:pos="432" w:leader="none"/>
        </w:tabs>
        <w:spacing w:before="240" w:after="60" w:line="240"/>
        <w:ind w:right="0" w:left="432" w:hanging="432"/>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Методология </w:t>
      </w:r>
    </w:p>
    <w:p>
      <w:pPr>
        <w:keepNext w:val="true"/>
        <w:numPr>
          <w:ilvl w:val="0"/>
          <w:numId w:val="212"/>
        </w:numPr>
        <w:tabs>
          <w:tab w:val="left" w:pos="718" w:leader="none"/>
        </w:tabs>
        <w:spacing w:before="360" w:after="120" w:line="240"/>
        <w:ind w:right="0" w:left="718"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Цел</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Въз основа на този анализ, предложенията на общините и критериите за определяне на максималния брой на потребителите за всички социални услуги, за които се осигурява изцяло или частично финансиране от държавния бюджет, АСП ще разработи предложение за първата Национална карта на социалните услуги.</w:t>
      </w:r>
    </w:p>
    <w:p>
      <w:pPr>
        <w:keepNext w:val="true"/>
        <w:numPr>
          <w:ilvl w:val="0"/>
          <w:numId w:val="215"/>
        </w:numPr>
        <w:tabs>
          <w:tab w:val="left" w:pos="718" w:leader="none"/>
        </w:tabs>
        <w:spacing w:before="360" w:after="120" w:line="240"/>
        <w:ind w:right="0" w:left="718"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Обхват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Анализът е свързан с извеждане на потребностите на национално ниво от социални и интегрирани здравно-социални услуги на общинско и областно ниво, които се финансират изцяло или частично от държавния бюджет и е разработен на база получените в АСП анализи на потребностите от социални услуги на общинско и областно ниво, които се финансират изцяло или частично от държавния бюджет от 265 брой общини. Въз основа на изготвените анализи на потребностите на общините от социални услуги и техните предложенията, Агенцията за социално подпомагане изготви настоящият анализ на потребностите на национално ниво от социални и интегрирани здравно-социални услуги на общинско и областно ниво, които се финансират изцяло или частично от държавния бюджет.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рамките на анализа са обследвани и включени:</w:t>
      </w:r>
    </w:p>
    <w:p>
      <w:pPr>
        <w:numPr>
          <w:ilvl w:val="0"/>
          <w:numId w:val="217"/>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показателите по критериите за всички социални и интегрирани здравно-социални услуги, посочени в глава втора (обобщени за цялата страна, по области и по общини);</w:t>
      </w:r>
    </w:p>
    <w:p>
      <w:pPr>
        <w:numPr>
          <w:ilvl w:val="0"/>
          <w:numId w:val="217"/>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съществуващите към момента на изготвянето на анализа социални и интегрирани здравно-социални услуги и брой на техните потребители (общ и по видове услуги и групи потребители) за цялата страна, по области и по общини;</w:t>
      </w:r>
    </w:p>
    <w:p>
      <w:pPr>
        <w:numPr>
          <w:ilvl w:val="0"/>
          <w:numId w:val="217"/>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брой на желаещите да ползват социални и интегрирани здравно-социални услуги (общ и по видове услуги и групи потребители) за цялата страна, по области и по общини;</w:t>
      </w:r>
    </w:p>
    <w:p>
      <w:pPr>
        <w:numPr>
          <w:ilvl w:val="0"/>
          <w:numId w:val="217"/>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различна от общината по настоящ адрес (общ и по видове услуги и по общини);</w:t>
      </w:r>
    </w:p>
    <w:p>
      <w:pPr>
        <w:numPr>
          <w:ilvl w:val="0"/>
          <w:numId w:val="217"/>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данни/информация за демографското развитие за последните 5 години за цялата страна, по области и по общини;</w:t>
      </w:r>
    </w:p>
    <w:p>
      <w:pPr>
        <w:numPr>
          <w:ilvl w:val="0"/>
          <w:numId w:val="217"/>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keepNext w:val="true"/>
        <w:numPr>
          <w:ilvl w:val="0"/>
          <w:numId w:val="217"/>
        </w:numPr>
        <w:tabs>
          <w:tab w:val="left" w:pos="718" w:leader="none"/>
        </w:tabs>
        <w:spacing w:before="360" w:after="120" w:line="240"/>
        <w:ind w:right="0" w:left="718"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Заинтересовани страни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Основните групи заинтересовани страни, които имат отношение към планирането на социалните услуги са: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Кметове на общини - Кметът на общината организира разработването на анализ на потребностите на общината от социални услуги на общинско и областно ниво, които се финансират изцяло или частично от държавния бюджет:</w:t>
      </w:r>
    </w:p>
    <w:p>
      <w:pPr>
        <w:numPr>
          <w:ilvl w:val="0"/>
          <w:numId w:val="220"/>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Общински съвети приемат на свое заседание разработените общински анализи и предложението за включване на социалните услуги в Националната карта на социалните услуги;</w:t>
      </w:r>
    </w:p>
    <w:p>
      <w:pPr>
        <w:numPr>
          <w:ilvl w:val="0"/>
          <w:numId w:val="220"/>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Съветите по въпросите на социалните услуги, структурирани на територията на всяка община - подпомага извършването на анализ на потребностите от социални услуги на общинско ниво и анализ на състоянието и ефективността на социалните услуги, които се предоставят на територията на общината;</w:t>
      </w:r>
    </w:p>
    <w:p>
      <w:pPr>
        <w:numPr>
          <w:ilvl w:val="0"/>
          <w:numId w:val="220"/>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Областни управители - След изготвянето на анализите на потребностите от всички общини в съответната област, областният управител организира обсъждане и съгласуване между кметовете на общини в областта, с цел планиране от всяка община на потребностите й от социални и интегрирани здравно-социални услуги на областно ниво;</w:t>
      </w:r>
    </w:p>
    <w:p>
      <w:pPr>
        <w:numPr>
          <w:ilvl w:val="0"/>
          <w:numId w:val="220"/>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Министерство на здравеопазването - предложението за Националната карта в частта относно интегрираните здравно-социални услуги се съгласува предварително с министъра на здравеопазването;</w:t>
      </w:r>
    </w:p>
    <w:p>
      <w:pPr>
        <w:numPr>
          <w:ilvl w:val="0"/>
          <w:numId w:val="220"/>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Агенция за социално подпомагане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координира цялостният процес и оказва методическа подкрепа при оценката на потребностите на социални услуги, както и координира разработването и актуализацията на Националната карта на социалните услуги;</w:t>
      </w:r>
    </w:p>
    <w:p>
      <w:pPr>
        <w:numPr>
          <w:ilvl w:val="0"/>
          <w:numId w:val="220"/>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Настоящи и бъдещи потребители на социални услуги </w:t>
      </w:r>
    </w:p>
    <w:p>
      <w:pPr>
        <w:keepNext w:val="true"/>
        <w:numPr>
          <w:ilvl w:val="0"/>
          <w:numId w:val="220"/>
        </w:numPr>
        <w:tabs>
          <w:tab w:val="left" w:pos="718" w:leader="none"/>
        </w:tabs>
        <w:spacing w:before="360" w:after="120" w:line="240"/>
        <w:ind w:right="0" w:left="718"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Дейности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Вземайки предвид естеството на работата по анализа на потребностите и предложението за планиране на социалните услуги на общинско и областно ниво, и отчитайки отговорността и значението на планирането по места, а в последствие и на национално ниво, се предприеха следните методи на работа: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223"/>
        </w:numPr>
        <w:spacing w:before="0" w:after="0" w:line="240"/>
        <w:ind w:right="0" w:left="0" w:firstLine="0"/>
        <w:jc w:val="both"/>
        <w:rPr>
          <w:rFonts w:ascii="Times New Roman" w:hAnsi="Times New Roman" w:cs="Times New Roman" w:eastAsia="Times New Roman"/>
          <w:color w:val="auto"/>
          <w:spacing w:val="0"/>
          <w:position w:val="0"/>
          <w:sz w:val="24"/>
          <w:u w:val="single"/>
          <w:shd w:fill="auto" w:val="clear"/>
        </w:rPr>
      </w:pPr>
      <w:r>
        <w:rPr>
          <w:rFonts w:ascii="Times New Roman" w:hAnsi="Times New Roman" w:cs="Times New Roman" w:eastAsia="Times New Roman"/>
          <w:color w:val="auto"/>
          <w:spacing w:val="0"/>
          <w:position w:val="0"/>
          <w:sz w:val="24"/>
          <w:u w:val="single"/>
          <w:shd w:fill="auto" w:val="clear"/>
        </w:rPr>
        <w:t xml:space="preserve">От страна на ЦУ на АСП</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Утвърди препоръчителна структура на анализ на потребностите и приложения към нея;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Изготви времеви график на дейностите;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Изготви няколко писма с методически препоръки за подкрепа на общинските и областните администрации при изготвяне на анализите и предложенията и с цел да допринесат за прилагането на единен подход в процеса по планиране на социалните услуги. За подпомагане на процеса по оформяне на документите, освен утвърдената структура са дадени и примери за изготвяне на анализ и предложение за планиране на социалните услуги на общинско и областно ниво с подробни указания, които са помощен материал, чиято цел е единствено да онагледява последователността при изготвянето на анализа и предложението и не е съставна част от тях;</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Определени бяха служители от отделите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Социални услуги за пълнолетни лица“ (СУПЛ) към Главна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Социални услуги за деца“ (СУД) към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Закрила на детето“, които оказваха съдействие на областните и общинските администрации и предоставяха методическа подкрепа по време на целия процес;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Създадена беше и специална рубрика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Планиране на социалните услуги“ на сайта на АСП, където се публикуваха отговорите на поставените въпроси, отново с цел бърз достъп до необходимата информация. На сайта са публикувани и материали, които са разработвани допълнително, полезни не само за момента на планиране, а и в бъдеще;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Създадена споделена вътрешна папка за класиране на темата за планиране, наречена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Планиране“, осигуряваща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пряк път“ и възможност за достъпване на информацията от всички ангажирани служители от отделите СУПЛ и СУД;</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Използвани са всички възможности за комуникация - участие в срещи с представители на общините, да се обсъждат съвместните действия, свързани с изпълнението на различните етапи от процеса по разработване на Картата. Общините имаха възможност да задават въпроси, които възникваха в процеса на работа по телефон и на е- mail, за да се избегне административната тежест и спестяване на времеви и човешки ресурс за официална кореспонденция. Изготвените отговори на постъпили въпроси се изпращаха до всички общини и областни администрации, за да се вземат под внимание при възникнали подобни въпроси;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Съгласно устройствения правилник на АСП, ангажиментите по отношение на социалните услуги са разпределени в две дирекции. Още в началото на процеса на екипна среща бяха координирани ангажиментите на всички експерти, с оглед разпределение на задачите и съответно тяхното изпълнение. Процеса беше подпомогнат, чрез определяне на отговорни служители от ЦУ на АСП на областен принцип, както следва:</w:t>
      </w:r>
    </w:p>
    <w:p>
      <w:pPr>
        <w:numPr>
          <w:ilvl w:val="0"/>
          <w:numId w:val="225"/>
        </w:num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Цветанка Пиронкова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гл. експерт в отдел СУПЛ, за областите </w:t>
      </w: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Велико Търново, Шумен, Кюстендил;</w:t>
      </w:r>
      <w:r>
        <w:rPr>
          <w:rFonts w:ascii="Times New Roman" w:hAnsi="Times New Roman" w:cs="Times New Roman" w:eastAsia="Times New Roman"/>
          <w:i/>
          <w:color w:val="auto"/>
          <w:spacing w:val="0"/>
          <w:position w:val="0"/>
          <w:sz w:val="24"/>
          <w:shd w:fill="auto" w:val="clear"/>
        </w:rPr>
        <w:t xml:space="preserve"> </w:t>
      </w:r>
    </w:p>
    <w:p>
      <w:pPr>
        <w:numPr>
          <w:ilvl w:val="0"/>
          <w:numId w:val="225"/>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Ваня Иванова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гл. експерт в отдел СУПЛ, за областите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Варна, Силистра, Смолян;</w:t>
      </w:r>
    </w:p>
    <w:p>
      <w:pPr>
        <w:numPr>
          <w:ilvl w:val="0"/>
          <w:numId w:val="225"/>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Дона Петрова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мл. експерт в отдел СУПЛ, за областите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София-град, Хасково;</w:t>
      </w:r>
    </w:p>
    <w:p>
      <w:pPr>
        <w:numPr>
          <w:ilvl w:val="0"/>
          <w:numId w:val="225"/>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Недялка Илиева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гл. експерт в отдел СУПЛ, за областите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Габрово, София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област;</w:t>
      </w:r>
    </w:p>
    <w:p>
      <w:pPr>
        <w:numPr>
          <w:ilvl w:val="0"/>
          <w:numId w:val="225"/>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Станислава Петкова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ст. експерт в отдел СУПЛ, за областите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Пловдив, Търговище, Перник;</w:t>
      </w:r>
    </w:p>
    <w:p>
      <w:pPr>
        <w:numPr>
          <w:ilvl w:val="0"/>
          <w:numId w:val="225"/>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Йорданка Йотова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гл. експерт в отдел СУПЛ, за областите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Добрич, Благоевград, Кърджали;</w:t>
      </w:r>
    </w:p>
    <w:p>
      <w:pPr>
        <w:numPr>
          <w:ilvl w:val="0"/>
          <w:numId w:val="225"/>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София Пепечкова-Колева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гл. експерт в отдел СУПЛ, за областите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Пазарджик, Разград, Русе;</w:t>
      </w:r>
    </w:p>
    <w:p>
      <w:pPr>
        <w:numPr>
          <w:ilvl w:val="0"/>
          <w:numId w:val="225"/>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Миглена Хитова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гл. експерт в отдел СУПЛ, за областите - Враца, Видин, Ловеч;</w:t>
      </w:r>
    </w:p>
    <w:p>
      <w:pPr>
        <w:numPr>
          <w:ilvl w:val="0"/>
          <w:numId w:val="225"/>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Росица Лалева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гл. експерт в отдел СУД, за областите - Стара Загора, Ямбол, Плевен.</w:t>
      </w:r>
    </w:p>
    <w:p>
      <w:pPr>
        <w:numPr>
          <w:ilvl w:val="0"/>
          <w:numId w:val="225"/>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Нина Кънчева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гл. експерт в отдел СУД, за областите - Сливен, Бургас и Монтана.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Ангажираните служители от специализираната администрация - Главна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и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Закрила на детето“, въпреки изключителната си натовареност, свързана с текущата работа по административни производства за издаване на заповеди за предварително одобрение за разкриване на нови социални услуги, за които приключва проектно финансиране и е необходимо да се осигури устойчивост; изготвяне на отговори до граждани и институции; участия в работни срещи и групи, бяха в непрекъсната комуникация с определените общински служители с оглед изготвяне на националния анализ на социалните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Експертите в ЦУ на АСП осъществиха преглед на представените от общините анализи на потребностите и предложения за социалните услуги, които да бъдат включени в Националната карта на социалните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Осъществена е и кореспонденция с общини, при които са констатирани пропуски и неточности с оглед изискване на допълнителна или коригираща информация.</w:t>
      </w:r>
    </w:p>
    <w:p>
      <w:pPr>
        <w:numPr>
          <w:ilvl w:val="0"/>
          <w:numId w:val="227"/>
        </w:numPr>
        <w:spacing w:before="0" w:after="0" w:line="240"/>
        <w:ind w:right="0" w:left="0" w:firstLine="0"/>
        <w:jc w:val="both"/>
        <w:rPr>
          <w:rFonts w:ascii="Times New Roman" w:hAnsi="Times New Roman" w:cs="Times New Roman" w:eastAsia="Times New Roman"/>
          <w:color w:val="auto"/>
          <w:spacing w:val="0"/>
          <w:position w:val="0"/>
          <w:sz w:val="24"/>
          <w:u w:val="single"/>
          <w:shd w:fill="auto" w:val="clear"/>
        </w:rPr>
      </w:pPr>
      <w:r>
        <w:rPr>
          <w:rFonts w:ascii="Times New Roman" w:hAnsi="Times New Roman" w:cs="Times New Roman" w:eastAsia="Times New Roman"/>
          <w:color w:val="auto"/>
          <w:spacing w:val="0"/>
          <w:position w:val="0"/>
          <w:sz w:val="24"/>
          <w:u w:val="single"/>
          <w:shd w:fill="auto" w:val="clear"/>
        </w:rPr>
        <w:t xml:space="preserve">От страна на местните власти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своя страна и всички </w:t>
      </w:r>
      <w:r>
        <w:rPr>
          <w:rFonts w:ascii="Times New Roman" w:hAnsi="Times New Roman" w:cs="Times New Roman" w:eastAsia="Times New Roman"/>
          <w:b/>
          <w:color w:val="auto"/>
          <w:spacing w:val="0"/>
          <w:position w:val="0"/>
          <w:sz w:val="24"/>
          <w:shd w:fill="auto" w:val="clear"/>
        </w:rPr>
        <w:t xml:space="preserve">кметове </w:t>
      </w:r>
      <w:r>
        <w:rPr>
          <w:rFonts w:ascii="Times New Roman" w:hAnsi="Times New Roman" w:cs="Times New Roman" w:eastAsia="Times New Roman"/>
          <w:color w:val="auto"/>
          <w:spacing w:val="0"/>
          <w:position w:val="0"/>
          <w:sz w:val="24"/>
          <w:shd w:fill="auto" w:val="clear"/>
        </w:rPr>
        <w:t xml:space="preserve">определиха служители от общината, които пряко се ангажираха с процеса на планиране - участие в дейностите по изготвяне на анализа и предложението за планиране, участие в процеса на обсъждане и съгласуване между общините в областта, организирано от областния управител, както и в обсъждането по чл. 49, ал. 2 от Наредбата. Използвайки препоръчителните структури, общините разработиха анализите и предложенията си, като са изследвани спецификите на всяка община и са описани всички факти и обстоятелства, който имат значение за конкретната община. Кметовете организираха разработването на анализа на потребностите на общината от социални услуги на общинско и областно ниво, които се финансират изцяло или частично от държавния бюджет, като Съветът по въпросите на социалните услуги подпомагаха разработването на анализа по ред, определен от кмета на общината. Анализите на потребностите на ниво община се разработиха въз основа на критериите за всички социални и интегрирани здравно-социални услуги, посочени в глава втора от Наредбата:</w:t>
      </w:r>
    </w:p>
    <w:p>
      <w:pPr>
        <w:numPr>
          <w:ilvl w:val="0"/>
          <w:numId w:val="229"/>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показателите в общината по критериите за всички социални и интегрирани здравно-социални услуги, посочени в глава втора от Наредбата;</w:t>
      </w:r>
    </w:p>
    <w:p>
      <w:pPr>
        <w:numPr>
          <w:ilvl w:val="0"/>
          <w:numId w:val="229"/>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съществуващите към момента на изготвянето на анализа социални и интегрирани здравно-социални услуги на територията на общината и брой на техните потребители (общ и по видове услуги и групи потребители);</w:t>
      </w:r>
    </w:p>
    <w:p>
      <w:pPr>
        <w:numPr>
          <w:ilvl w:val="0"/>
          <w:numId w:val="229"/>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общината (общ и по видове услуги и групи потребители);</w:t>
      </w:r>
    </w:p>
    <w:p>
      <w:pPr>
        <w:numPr>
          <w:ilvl w:val="0"/>
          <w:numId w:val="229"/>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информация относно броя на лицата от други общини, които ползват социални и интегрирани здравно-социални услуги на територията на общината (общ и по видове услуги);</w:t>
      </w:r>
    </w:p>
    <w:p>
      <w:pPr>
        <w:numPr>
          <w:ilvl w:val="0"/>
          <w:numId w:val="229"/>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данни/информация за демографското развитие в общината за последните 5 години;</w:t>
      </w:r>
    </w:p>
    <w:p>
      <w:pPr>
        <w:numPr>
          <w:ilvl w:val="0"/>
          <w:numId w:val="229"/>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информация за наличната социална, образователна и здравна инфраструктура (видове и материална база);</w:t>
      </w:r>
    </w:p>
    <w:p>
      <w:pPr>
        <w:numPr>
          <w:ilvl w:val="0"/>
          <w:numId w:val="229"/>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информация и прогноза за необходимите служители за извършване на дейността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Показателите в общината по критериите за всички услуги се отчитаха по настоящ адрес на лицата.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Кметовете на общини организираха представяне на анализа на потребностите и обсъждане на предложението за планирането на социалните услуги на общинско и областно ниво в общината със период от 30 дни, което след приключването им се одобриха от общинските съвети. В периода м. април - май 2023 г. същите са представени в АСП за обобщаване и изготвяне на Анализ на потребностите на национално ниво и предложение на Национална карта на социалните услуги.</w:t>
      </w:r>
    </w:p>
    <w:p>
      <w:pPr>
        <w:spacing w:before="0" w:after="0" w:line="240"/>
        <w:ind w:right="0" w:left="0" w:firstLine="0"/>
        <w:jc w:val="both"/>
        <w:rPr>
          <w:rFonts w:ascii="Times New Roman" w:hAnsi="Times New Roman" w:cs="Times New Roman" w:eastAsia="Times New Roman"/>
          <w:color w:val="auto"/>
          <w:spacing w:val="0"/>
          <w:position w:val="0"/>
          <w:sz w:val="24"/>
          <w:u w:val="single"/>
          <w:shd w:fill="auto" w:val="clear"/>
        </w:rPr>
      </w:pPr>
    </w:p>
    <w:p>
      <w:pPr>
        <w:numPr>
          <w:ilvl w:val="0"/>
          <w:numId w:val="231"/>
        </w:numPr>
        <w:spacing w:before="0" w:after="0" w:line="240"/>
        <w:ind w:right="0" w:left="0" w:firstLine="0"/>
        <w:jc w:val="both"/>
        <w:rPr>
          <w:rFonts w:ascii="Times New Roman" w:hAnsi="Times New Roman" w:cs="Times New Roman" w:eastAsia="Times New Roman"/>
          <w:color w:val="auto"/>
          <w:spacing w:val="0"/>
          <w:position w:val="0"/>
          <w:sz w:val="24"/>
          <w:u w:val="single"/>
          <w:shd w:fill="auto" w:val="clear"/>
        </w:rPr>
      </w:pPr>
      <w:r>
        <w:rPr>
          <w:rFonts w:ascii="Times New Roman" w:hAnsi="Times New Roman" w:cs="Times New Roman" w:eastAsia="Times New Roman"/>
          <w:color w:val="auto"/>
          <w:spacing w:val="0"/>
          <w:position w:val="0"/>
          <w:sz w:val="24"/>
          <w:u w:val="single"/>
          <w:shd w:fill="auto" w:val="clear"/>
        </w:rPr>
        <w:t xml:space="preserve">От страна на областните управи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Областните управители</w:t>
      </w:r>
      <w:r>
        <w:rPr>
          <w:rFonts w:ascii="Times New Roman" w:hAnsi="Times New Roman" w:cs="Times New Roman" w:eastAsia="Times New Roman"/>
          <w:color w:val="auto"/>
          <w:spacing w:val="0"/>
          <w:position w:val="0"/>
          <w:sz w:val="24"/>
          <w:shd w:fill="auto" w:val="clear"/>
        </w:rPr>
        <w:t xml:space="preserve"> също определиха служители от областната администрация, пряко ангажирани с процеса на планиране. Областният управител в съответната област организира обсъждане и съгласуване между кметовете на общини в областта, по отношение потребността на всяка община от социални и интегрирани здравно-социални услуги на областно ниво. За резултатите от съгласуването областните управители предоставиха обобщена информация на АСП (споразумение между всички кметове на общините в областта/протокол или друг еквивалентен документ).</w:t>
      </w:r>
    </w:p>
    <w:p>
      <w:pPr>
        <w:keepNext w:val="true"/>
        <w:numPr>
          <w:ilvl w:val="0"/>
          <w:numId w:val="233"/>
        </w:numPr>
        <w:tabs>
          <w:tab w:val="left" w:pos="718" w:leader="none"/>
        </w:tabs>
        <w:spacing w:before="360" w:after="120" w:line="240"/>
        <w:ind w:right="0" w:left="718"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Времеви график</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Изготвен и определен бе и Времеви график по дейности и индикативни срокове за действие.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tbl>
      <w:tblPr/>
      <w:tblGrid>
        <w:gridCol w:w="1895"/>
        <w:gridCol w:w="2104"/>
        <w:gridCol w:w="341"/>
        <w:gridCol w:w="402"/>
        <w:gridCol w:w="462"/>
        <w:gridCol w:w="278"/>
        <w:gridCol w:w="337"/>
        <w:gridCol w:w="398"/>
        <w:gridCol w:w="413"/>
        <w:gridCol w:w="430"/>
        <w:gridCol w:w="445"/>
        <w:gridCol w:w="474"/>
        <w:gridCol w:w="534"/>
        <w:gridCol w:w="547"/>
      </w:tblGrid>
      <w:tr>
        <w:trPr>
          <w:trHeight w:val="363" w:hRule="auto"/>
          <w:jc w:val="left"/>
          <w:cantSplit w:val="1"/>
        </w:trPr>
        <w:tc>
          <w:tcPr>
            <w:tcW w:w="1895" w:type="dxa"/>
            <w:vMerge w:val="restart"/>
            <w:tcBorders>
              <w:top w:val="single" w:color="000000" w:sz="4"/>
              <w:left w:val="single" w:color="000000" w:sz="4"/>
              <w:bottom w:val="single" w:color="bfbfbf"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center"/>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ЕТАП </w:t>
            </w:r>
          </w:p>
        </w:tc>
        <w:tc>
          <w:tcPr>
            <w:tcW w:w="2104" w:type="dxa"/>
            <w:vMerge w:val="restart"/>
            <w:tcBorders>
              <w:top w:val="single" w:color="000000" w:sz="4"/>
              <w:left w:val="single" w:color="000000" w:sz="4"/>
              <w:bottom w:val="single" w:color="bfbfbf"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Дейност</w:t>
            </w:r>
          </w:p>
          <w:p>
            <w:pPr>
              <w:tabs>
                <w:tab w:val="left" w:pos="0" w:leader="none"/>
                <w:tab w:val="left" w:pos="1390" w:leader="none"/>
              </w:tabs>
              <w:spacing w:before="0" w:after="60" w:line="276"/>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ab/>
            </w:r>
          </w:p>
          <w:p>
            <w:pPr>
              <w:tabs>
                <w:tab w:val="left" w:pos="0" w:leader="none"/>
                <w:tab w:val="left" w:pos="1390" w:leader="none"/>
              </w:tabs>
              <w:spacing w:before="0" w:after="60" w:line="276"/>
              <w:ind w:right="0" w:left="0" w:firstLine="0"/>
              <w:jc w:val="both"/>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Год./мес.</w:t>
            </w:r>
          </w:p>
        </w:tc>
        <w:tc>
          <w:tcPr>
            <w:tcW w:w="1205"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center"/>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2022</w:t>
            </w:r>
          </w:p>
        </w:tc>
        <w:tc>
          <w:tcPr>
            <w:tcW w:w="3856" w:type="dxa"/>
            <w:gridSpan w:val="9"/>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center"/>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2023</w:t>
            </w:r>
          </w:p>
        </w:tc>
      </w:tr>
      <w:tr>
        <w:trPr>
          <w:trHeight w:val="391" w:hRule="auto"/>
          <w:jc w:val="left"/>
          <w:cantSplit w:val="1"/>
        </w:trPr>
        <w:tc>
          <w:tcPr>
            <w:tcW w:w="1895" w:type="dxa"/>
            <w:vMerge/>
            <w:tcBorders>
              <w:top w:val="single" w:color="bfbfbf"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04" w:type="dxa"/>
            <w:vMerge/>
            <w:tcBorders>
              <w:top w:val="single" w:color="bfbfbf"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3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X</w:t>
            </w:r>
          </w:p>
        </w:tc>
        <w:tc>
          <w:tcPr>
            <w:tcW w:w="4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XI</w:t>
            </w:r>
          </w:p>
        </w:tc>
        <w:tc>
          <w:tcPr>
            <w:tcW w:w="4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XII</w:t>
            </w:r>
          </w:p>
        </w:tc>
        <w:tc>
          <w:tcPr>
            <w:tcW w:w="2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I</w:t>
            </w:r>
          </w:p>
        </w:tc>
        <w:tc>
          <w:tcPr>
            <w:tcW w:w="3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II</w:t>
            </w:r>
          </w:p>
        </w:tc>
        <w:tc>
          <w:tcPr>
            <w:tcW w:w="3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III</w:t>
            </w:r>
          </w:p>
        </w:tc>
        <w:tc>
          <w:tcPr>
            <w:tcW w:w="4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IV</w:t>
            </w:r>
          </w:p>
        </w:tc>
        <w:tc>
          <w:tcPr>
            <w:tcW w:w="4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V</w:t>
            </w:r>
          </w:p>
        </w:tc>
        <w:tc>
          <w:tcPr>
            <w:tcW w:w="4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VI</w:t>
            </w:r>
          </w:p>
        </w:tc>
        <w:tc>
          <w:tcPr>
            <w:tcW w:w="4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VII</w:t>
            </w:r>
          </w:p>
        </w:tc>
        <w:tc>
          <w:tcPr>
            <w:tcW w:w="5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VIII</w:t>
            </w:r>
          </w:p>
        </w:tc>
        <w:tc>
          <w:tcPr>
            <w:tcW w:w="5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IX, </w:t>
            </w:r>
            <w:r>
              <w:rPr>
                <w:rFonts w:ascii="Calibri" w:hAnsi="Calibri" w:cs="Calibri" w:eastAsia="Calibri"/>
                <w:color w:val="auto"/>
                <w:spacing w:val="0"/>
                <w:position w:val="0"/>
                <w:sz w:val="24"/>
                <w:shd w:fill="auto" w:val="clear"/>
              </w:rPr>
              <w:t xml:space="preserve">Х</w:t>
            </w:r>
          </w:p>
        </w:tc>
      </w:tr>
      <w:tr>
        <w:trPr>
          <w:trHeight w:val="1" w:hRule="atLeast"/>
          <w:jc w:val="left"/>
        </w:trPr>
        <w:tc>
          <w:tcPr>
            <w:tcW w:w="1895"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Анализ на потребностите от социални и интегрирани здравно-социални услуги на общинско и областно ниво</w:t>
            </w:r>
          </w:p>
        </w:tc>
        <w:tc>
          <w:tcPr>
            <w:tcW w:w="21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Организация на процеса от страна на общините</w:t>
            </w:r>
          </w:p>
        </w:tc>
        <w:tc>
          <w:tcPr>
            <w:tcW w:w="341" w:type="dxa"/>
            <w:tcBorders>
              <w:top w:val="single" w:color="000000" w:sz="4"/>
              <w:left w:val="single" w:color="000000" w:sz="4"/>
              <w:bottom w:val="single" w:color="000000" w:sz="4"/>
              <w:right w:val="single" w:color="000000" w:sz="4"/>
            </w:tcBorders>
            <w:shd w:color="auto" w:fill="ffd966"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02" w:type="dxa"/>
            <w:tcBorders>
              <w:top w:val="single" w:color="000000" w:sz="4"/>
              <w:left w:val="single" w:color="000000" w:sz="4"/>
              <w:bottom w:val="single" w:color="000000" w:sz="4"/>
              <w:right w:val="single" w:color="000000" w:sz="4"/>
            </w:tcBorders>
            <w:shd w:color="auto" w:fill="ffd966"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2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3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3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5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5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r>
      <w:tr>
        <w:trPr>
          <w:trHeight w:val="1" w:hRule="atLeast"/>
          <w:jc w:val="left"/>
        </w:trPr>
        <w:tc>
          <w:tcPr>
            <w:tcW w:w="1895"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Предоставяне на структура на анализа от АСП</w:t>
            </w:r>
          </w:p>
        </w:tc>
        <w:tc>
          <w:tcPr>
            <w:tcW w:w="3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02" w:type="dxa"/>
            <w:tcBorders>
              <w:top w:val="single" w:color="000000" w:sz="4"/>
              <w:left w:val="single" w:color="000000" w:sz="4"/>
              <w:bottom w:val="single" w:color="000000" w:sz="4"/>
              <w:right w:val="single" w:color="000000" w:sz="4"/>
            </w:tcBorders>
            <w:shd w:color="auto" w:fill="ffd966"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2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3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3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5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5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r>
      <w:tr>
        <w:trPr>
          <w:trHeight w:val="1" w:hRule="atLeast"/>
          <w:jc w:val="left"/>
        </w:trPr>
        <w:tc>
          <w:tcPr>
            <w:tcW w:w="1895"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Събиране на данни</w:t>
            </w:r>
          </w:p>
        </w:tc>
        <w:tc>
          <w:tcPr>
            <w:tcW w:w="3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62" w:type="dxa"/>
            <w:tcBorders>
              <w:top w:val="single" w:color="000000" w:sz="4"/>
              <w:left w:val="single" w:color="000000" w:sz="4"/>
              <w:bottom w:val="single" w:color="000000" w:sz="4"/>
              <w:right w:val="single" w:color="000000" w:sz="4"/>
            </w:tcBorders>
            <w:shd w:color="auto" w:fill="ffd966"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278" w:type="dxa"/>
            <w:tcBorders>
              <w:top w:val="single" w:color="000000" w:sz="4"/>
              <w:left w:val="single" w:color="000000" w:sz="4"/>
              <w:bottom w:val="single" w:color="000000" w:sz="4"/>
              <w:right w:val="single" w:color="000000" w:sz="4"/>
            </w:tcBorders>
            <w:shd w:color="auto" w:fill="ffd966"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3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3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5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5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r>
      <w:tr>
        <w:trPr>
          <w:trHeight w:val="1" w:hRule="atLeast"/>
          <w:jc w:val="left"/>
        </w:trPr>
        <w:tc>
          <w:tcPr>
            <w:tcW w:w="1895"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Анализиране на данните</w:t>
            </w:r>
          </w:p>
        </w:tc>
        <w:tc>
          <w:tcPr>
            <w:tcW w:w="3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62" w:type="dxa"/>
            <w:tcBorders>
              <w:top w:val="single" w:color="000000" w:sz="4"/>
              <w:left w:val="single" w:color="000000" w:sz="4"/>
              <w:bottom w:val="single" w:color="000000" w:sz="4"/>
              <w:right w:val="single" w:color="000000" w:sz="4"/>
            </w:tcBorders>
            <w:shd w:color="auto" w:fill="ffd966"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278" w:type="dxa"/>
            <w:tcBorders>
              <w:top w:val="single" w:color="000000" w:sz="4"/>
              <w:left w:val="single" w:color="000000" w:sz="4"/>
              <w:bottom w:val="single" w:color="000000" w:sz="4"/>
              <w:right w:val="single" w:color="000000" w:sz="4"/>
            </w:tcBorders>
            <w:shd w:color="auto" w:fill="ffd966"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3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3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5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5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r>
      <w:tr>
        <w:trPr>
          <w:trHeight w:val="1" w:hRule="atLeast"/>
          <w:jc w:val="left"/>
        </w:trPr>
        <w:tc>
          <w:tcPr>
            <w:tcW w:w="1895"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Обсъждане и съгласуване между кметовете на общини в областта</w:t>
            </w:r>
          </w:p>
        </w:tc>
        <w:tc>
          <w:tcPr>
            <w:tcW w:w="3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278" w:type="dxa"/>
            <w:tcBorders>
              <w:top w:val="single" w:color="000000" w:sz="4"/>
              <w:left w:val="single" w:color="000000" w:sz="4"/>
              <w:bottom w:val="single" w:color="000000" w:sz="4"/>
              <w:right w:val="single" w:color="000000" w:sz="4"/>
            </w:tcBorders>
            <w:shd w:color="auto" w:fill="ffd966"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3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3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5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5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r>
      <w:tr>
        <w:trPr>
          <w:trHeight w:val="1" w:hRule="atLeast"/>
          <w:jc w:val="left"/>
        </w:trPr>
        <w:tc>
          <w:tcPr>
            <w:tcW w:w="1895"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Предоставяне в АСП от областния управител на обобщена информация за резултатите от съгласуването </w:t>
            </w:r>
          </w:p>
        </w:tc>
        <w:tc>
          <w:tcPr>
            <w:tcW w:w="3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278" w:type="dxa"/>
            <w:tcBorders>
              <w:top w:val="single" w:color="000000" w:sz="4"/>
              <w:left w:val="single" w:color="000000" w:sz="4"/>
              <w:bottom w:val="single" w:color="000000" w:sz="4"/>
              <w:right w:val="single" w:color="000000" w:sz="4"/>
            </w:tcBorders>
            <w:shd w:color="auto" w:fill="ffd966"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3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3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5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5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r>
      <w:tr>
        <w:trPr>
          <w:trHeight w:val="1" w:hRule="atLeast"/>
          <w:jc w:val="left"/>
        </w:trPr>
        <w:tc>
          <w:tcPr>
            <w:tcW w:w="1895"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Предложение за планирането в общината на социални и интегрирани здравно-социални услуги на общинско и областно ниво</w:t>
            </w:r>
          </w:p>
        </w:tc>
        <w:tc>
          <w:tcPr>
            <w:tcW w:w="21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Предоставяне от АСП на структура на предложението</w:t>
            </w:r>
          </w:p>
        </w:tc>
        <w:tc>
          <w:tcPr>
            <w:tcW w:w="3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62" w:type="dxa"/>
            <w:tcBorders>
              <w:top w:val="single" w:color="000000" w:sz="4"/>
              <w:left w:val="single" w:color="000000" w:sz="4"/>
              <w:bottom w:val="single" w:color="000000" w:sz="4"/>
              <w:right w:val="single" w:color="000000" w:sz="4"/>
            </w:tcBorders>
            <w:shd w:color="auto" w:fill="ffd966"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2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3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3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5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5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r>
      <w:tr>
        <w:trPr>
          <w:trHeight w:val="408" w:hRule="auto"/>
          <w:jc w:val="left"/>
        </w:trPr>
        <w:tc>
          <w:tcPr>
            <w:tcW w:w="1895"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Изготвяне на предложенията</w:t>
            </w:r>
          </w:p>
        </w:tc>
        <w:tc>
          <w:tcPr>
            <w:tcW w:w="3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278" w:type="dxa"/>
            <w:tcBorders>
              <w:top w:val="single" w:color="000000" w:sz="4"/>
              <w:left w:val="single" w:color="000000" w:sz="4"/>
              <w:bottom w:val="single" w:color="000000" w:sz="4"/>
              <w:right w:val="single" w:color="000000" w:sz="4"/>
            </w:tcBorders>
            <w:shd w:color="auto" w:fill="ffd966"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337" w:type="dxa"/>
            <w:tcBorders>
              <w:top w:val="single" w:color="000000" w:sz="4"/>
              <w:left w:val="single" w:color="000000" w:sz="4"/>
              <w:bottom w:val="single" w:color="000000" w:sz="4"/>
              <w:right w:val="single" w:color="000000" w:sz="4"/>
            </w:tcBorders>
            <w:shd w:color="auto" w:fill="ffd966"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3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5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5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r>
      <w:tr>
        <w:trPr>
          <w:trHeight w:val="1" w:hRule="atLeast"/>
          <w:jc w:val="left"/>
        </w:trPr>
        <w:tc>
          <w:tcPr>
            <w:tcW w:w="1895"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Представяне на анализа и обсъждане на предложението за планираните социални и интегрирани здравно-социални услуги в общината</w:t>
            </w:r>
          </w:p>
        </w:tc>
        <w:tc>
          <w:tcPr>
            <w:tcW w:w="21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Публикуване на интернет страницата на общината</w:t>
            </w:r>
          </w:p>
        </w:tc>
        <w:tc>
          <w:tcPr>
            <w:tcW w:w="3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2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337" w:type="dxa"/>
            <w:tcBorders>
              <w:top w:val="single" w:color="000000" w:sz="4"/>
              <w:left w:val="single" w:color="000000" w:sz="4"/>
              <w:bottom w:val="single" w:color="000000" w:sz="4"/>
              <w:right w:val="single" w:color="000000" w:sz="4"/>
            </w:tcBorders>
            <w:shd w:color="auto" w:fill="ffd966"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3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5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5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r>
      <w:tr>
        <w:trPr>
          <w:trHeight w:val="1" w:hRule="atLeast"/>
          <w:jc w:val="left"/>
        </w:trPr>
        <w:tc>
          <w:tcPr>
            <w:tcW w:w="1895"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Провеждане на публични дискусии, вкл. в рамките на Съвета по въпросите на социалните услуги</w:t>
            </w:r>
          </w:p>
        </w:tc>
        <w:tc>
          <w:tcPr>
            <w:tcW w:w="3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2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337" w:type="dxa"/>
            <w:tcBorders>
              <w:top w:val="single" w:color="000000" w:sz="4"/>
              <w:left w:val="single" w:color="000000" w:sz="4"/>
              <w:bottom w:val="single" w:color="000000" w:sz="4"/>
              <w:right w:val="single" w:color="000000" w:sz="4"/>
            </w:tcBorders>
            <w:shd w:color="auto" w:fill="ffd966"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398" w:type="dxa"/>
            <w:tcBorders>
              <w:top w:val="single" w:color="000000" w:sz="4"/>
              <w:left w:val="single" w:color="000000" w:sz="4"/>
              <w:bottom w:val="single" w:color="000000" w:sz="4"/>
              <w:right w:val="single" w:color="000000" w:sz="4"/>
            </w:tcBorders>
            <w:shd w:color="auto" w:fill="ffd966"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5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5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r>
      <w:tr>
        <w:trPr>
          <w:trHeight w:val="1" w:hRule="atLeast"/>
          <w:jc w:val="left"/>
        </w:trPr>
        <w:tc>
          <w:tcPr>
            <w:tcW w:w="1895"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Промени (ако е приложимо)</w:t>
            </w:r>
          </w:p>
        </w:tc>
        <w:tc>
          <w:tcPr>
            <w:tcW w:w="3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2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3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398" w:type="dxa"/>
            <w:tcBorders>
              <w:top w:val="single" w:color="000000" w:sz="4"/>
              <w:left w:val="single" w:color="000000" w:sz="4"/>
              <w:bottom w:val="single" w:color="000000" w:sz="4"/>
              <w:right w:val="single" w:color="000000" w:sz="4"/>
            </w:tcBorders>
            <w:shd w:color="auto" w:fill="ffd966"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13" w:type="dxa"/>
            <w:tcBorders>
              <w:top w:val="single" w:color="000000" w:sz="4"/>
              <w:left w:val="single" w:color="000000" w:sz="4"/>
              <w:bottom w:val="single" w:color="000000" w:sz="4"/>
              <w:right w:val="single" w:color="000000" w:sz="4"/>
            </w:tcBorders>
            <w:shd w:color="auto" w:fill="ffd966"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5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5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r>
      <w:tr>
        <w:trPr>
          <w:trHeight w:val="1" w:hRule="atLeast"/>
          <w:jc w:val="left"/>
        </w:trPr>
        <w:tc>
          <w:tcPr>
            <w:tcW w:w="1895"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Одобрение от общинския съвет (решение на ОбС)</w:t>
            </w:r>
          </w:p>
        </w:tc>
        <w:tc>
          <w:tcPr>
            <w:tcW w:w="3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2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3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3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13" w:type="dxa"/>
            <w:tcBorders>
              <w:top w:val="single" w:color="000000" w:sz="4"/>
              <w:left w:val="single" w:color="000000" w:sz="4"/>
              <w:bottom w:val="single" w:color="000000" w:sz="4"/>
              <w:right w:val="single" w:color="000000" w:sz="4"/>
            </w:tcBorders>
            <w:shd w:color="auto" w:fill="ffd966"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5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5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r>
      <w:tr>
        <w:trPr>
          <w:trHeight w:val="1" w:hRule="atLeast"/>
          <w:jc w:val="left"/>
        </w:trPr>
        <w:tc>
          <w:tcPr>
            <w:tcW w:w="1895"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Изпращане в АСП</w:t>
            </w:r>
          </w:p>
        </w:tc>
        <w:tc>
          <w:tcPr>
            <w:tcW w:w="3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2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3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3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13" w:type="dxa"/>
            <w:tcBorders>
              <w:top w:val="single" w:color="000000" w:sz="4"/>
              <w:left w:val="single" w:color="000000" w:sz="4"/>
              <w:bottom w:val="single" w:color="000000" w:sz="4"/>
              <w:right w:val="single" w:color="000000" w:sz="4"/>
            </w:tcBorders>
            <w:shd w:color="auto" w:fill="ffd966"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5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5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r>
      <w:tr>
        <w:trPr>
          <w:trHeight w:val="1" w:hRule="atLeast"/>
          <w:jc w:val="left"/>
        </w:trPr>
        <w:tc>
          <w:tcPr>
            <w:tcW w:w="18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Изготвяне от АСП на анализ на потребностите на национално ниво </w:t>
            </w:r>
          </w:p>
        </w:tc>
        <w:tc>
          <w:tcPr>
            <w:tcW w:w="21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3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2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3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3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1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30" w:type="dxa"/>
            <w:tcBorders>
              <w:top w:val="single" w:color="000000" w:sz="4"/>
              <w:left w:val="single" w:color="000000" w:sz="4"/>
              <w:bottom w:val="single" w:color="000000" w:sz="4"/>
              <w:right w:val="single" w:color="000000" w:sz="4"/>
            </w:tcBorders>
            <w:shd w:color="auto" w:fill="ffd966"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45" w:type="dxa"/>
            <w:tcBorders>
              <w:top w:val="single" w:color="000000" w:sz="4"/>
              <w:left w:val="single" w:color="000000" w:sz="4"/>
              <w:bottom w:val="single" w:color="000000" w:sz="4"/>
              <w:right w:val="single" w:color="000000" w:sz="4"/>
            </w:tcBorders>
            <w:shd w:color="auto" w:fill="ffd966"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5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5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r>
      <w:tr>
        <w:trPr>
          <w:trHeight w:val="1" w:hRule="atLeast"/>
          <w:jc w:val="left"/>
        </w:trPr>
        <w:tc>
          <w:tcPr>
            <w:tcW w:w="18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Изготвяне от АСП предложение за Национална карта на социалните услуги</w:t>
            </w:r>
          </w:p>
        </w:tc>
        <w:tc>
          <w:tcPr>
            <w:tcW w:w="21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3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2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3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3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1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45" w:type="dxa"/>
            <w:tcBorders>
              <w:top w:val="single" w:color="000000" w:sz="4"/>
              <w:left w:val="single" w:color="000000" w:sz="4"/>
              <w:bottom w:val="single" w:color="000000" w:sz="4"/>
              <w:right w:val="single" w:color="000000" w:sz="4"/>
            </w:tcBorders>
            <w:shd w:color="auto" w:fill="ffd966"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74"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5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5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r>
      <w:tr>
        <w:trPr>
          <w:trHeight w:val="1" w:hRule="atLeast"/>
          <w:jc w:val="left"/>
        </w:trPr>
        <w:tc>
          <w:tcPr>
            <w:tcW w:w="18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Организиране от АСП на обсъждане на областно и общинско ниво на анализа и предложението</w:t>
            </w:r>
          </w:p>
        </w:tc>
        <w:tc>
          <w:tcPr>
            <w:tcW w:w="21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3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2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3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3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1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74" w:type="dxa"/>
            <w:tcBorders>
              <w:top w:val="single" w:color="000000" w:sz="4"/>
              <w:left w:val="single" w:color="000000" w:sz="4"/>
              <w:bottom w:val="single" w:color="000000" w:sz="4"/>
              <w:right w:val="single" w:color="000000" w:sz="4"/>
            </w:tcBorders>
            <w:shd w:color="auto" w:fill="ffd966"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5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5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r>
      <w:tr>
        <w:trPr>
          <w:trHeight w:val="1" w:hRule="atLeast"/>
          <w:jc w:val="left"/>
        </w:trPr>
        <w:tc>
          <w:tcPr>
            <w:tcW w:w="18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Предоставяне от АСП в МТСП на предложението за Националната карта </w:t>
            </w:r>
          </w:p>
        </w:tc>
        <w:tc>
          <w:tcPr>
            <w:tcW w:w="21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3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2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3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3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1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474" w:type="dxa"/>
            <w:tcBorders>
              <w:top w:val="single" w:color="000000" w:sz="4"/>
              <w:left w:val="single" w:color="000000" w:sz="4"/>
              <w:bottom w:val="single" w:color="000000" w:sz="4"/>
              <w:right w:val="single" w:color="000000" w:sz="4"/>
            </w:tcBorders>
            <w:shd w:color="auto" w:fill="ffd966"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534" w:type="dxa"/>
            <w:tcBorders>
              <w:top w:val="single" w:color="000000" w:sz="4"/>
              <w:left w:val="single" w:color="000000" w:sz="4"/>
              <w:bottom w:val="single" w:color="000000" w:sz="4"/>
              <w:right w:val="single" w:color="000000" w:sz="4"/>
            </w:tcBorders>
            <w:shd w:color="auto" w:fill="ffd966"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c>
          <w:tcPr>
            <w:tcW w:w="5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0" w:leader="none"/>
                <w:tab w:val="left" w:pos="142" w:leader="none"/>
              </w:tabs>
              <w:spacing w:before="0" w:after="60" w:line="276"/>
              <w:ind w:right="0" w:left="0" w:firstLine="0"/>
              <w:jc w:val="both"/>
              <w:rPr>
                <w:rFonts w:ascii="Calibri" w:hAnsi="Calibri" w:cs="Calibri" w:eastAsia="Calibri"/>
                <w:color w:val="auto"/>
                <w:spacing w:val="0"/>
                <w:position w:val="0"/>
                <w:sz w:val="22"/>
                <w:shd w:fill="auto" w:val="clear"/>
              </w:rPr>
            </w:pP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Изпълнението на индикативният график се забави, предвид факта, че част от общините близо месец и половина по-късно от определените срокове представиха в АСП разработените и одобрени Анализи на потребностите и Предложения за социалните услуги за включване в Националната карта на социалните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308"/>
        </w:numPr>
        <w:tabs>
          <w:tab w:val="left" w:pos="718" w:leader="none"/>
        </w:tabs>
        <w:spacing w:before="0" w:after="0" w:line="240"/>
        <w:ind w:right="0" w:left="0" w:firstLine="0"/>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Събиране и обработка на информацията от 265-те общини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 оглед на функционалните ангажименти на Агенцията по разработване на анализ на потребностите на национално ниво от социални и интегрирани здравно-социални услуги на общинско и областно ниво, които се финансират изцяло или частично от държавния бюджет и предложение за Националната карта на социалните услуги (Картата), към 19.07.2023 г. е събрана информация и са обработени данните за всички общини и същите са обобщени на ниво област, съгласно определените критерии в чл. 45 от Наредбата за планиране на социалните услуги. Етапи на събиране и обработване на информацията, получена от общините в Р България.</w:t>
      </w:r>
    </w:p>
    <w:p>
      <w:pPr>
        <w:numPr>
          <w:ilvl w:val="0"/>
          <w:numId w:val="310"/>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След получаване на пълната документация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анализ и предложение, ведно с техните приложения се сортират в папки с общинските предложения и областните споразумения за всяка област поотделно и се въвеждат в определената споделена папка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Планиране“;</w:t>
      </w:r>
    </w:p>
    <w:p>
      <w:pPr>
        <w:numPr>
          <w:ilvl w:val="0"/>
          <w:numId w:val="310"/>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Извършване на проверка по отношение съответствието на постъпилите предложения от всяка община и включените социални и интегрирани здравно-социални услуги, които са били съгласувани на обсъждането при областния управител;</w:t>
      </w:r>
    </w:p>
    <w:p>
      <w:pPr>
        <w:numPr>
          <w:ilvl w:val="0"/>
          <w:numId w:val="310"/>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Изпратени писма до общините, които не са представили коректни документи по планирането;</w:t>
      </w:r>
    </w:p>
    <w:p>
      <w:pPr>
        <w:numPr>
          <w:ilvl w:val="0"/>
          <w:numId w:val="310"/>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Изготвяне на структура на Анализ на потребностите от социални услуги на национално ниво и апробирането ѝ за област Видин;</w:t>
      </w:r>
    </w:p>
    <w:p>
      <w:pPr>
        <w:numPr>
          <w:ilvl w:val="0"/>
          <w:numId w:val="310"/>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Всеки определен експерт разгледа подробно и детайлно получената документация от общините, с цел установяване на различни пропуски, които биха затруднили обобщаването и извеждането на СУ за Картата.</w:t>
      </w:r>
    </w:p>
    <w:p>
      <w:pPr>
        <w:numPr>
          <w:ilvl w:val="0"/>
          <w:numId w:val="310"/>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Данните за общините са прегледани и въведени в съдържателната част на анализа в аналитичен и табличен/графичен вид, след което са обобщени на ниво област.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u w:val="single"/>
          <w:shd w:fill="auto" w:val="clear"/>
        </w:rPr>
      </w:pPr>
      <w:r>
        <w:rPr>
          <w:rFonts w:ascii="Times New Roman" w:hAnsi="Times New Roman" w:cs="Times New Roman" w:eastAsia="Times New Roman"/>
          <w:i/>
          <w:color w:val="auto"/>
          <w:spacing w:val="0"/>
          <w:position w:val="0"/>
          <w:sz w:val="24"/>
          <w:u w:val="single"/>
          <w:shd w:fill="auto" w:val="clear"/>
        </w:rPr>
        <w:t xml:space="preserve">Трудности при събиране и обработване на данните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Процесът по обработване и обобщаване на данните значително бе затруднен и се забави поради получената непълна и/или неточна и не добре структурирана информация, неспазване на препоръчителните структури и изискани допълнителни разяснения по отношение на представените данни от общините.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Независимо, че общините получиха утвърдени от Изпълнителния директор на АСП препоръчителни структури на анализа и предложението, заедно с приложения, подробни пояснения и указания за улесняване процеса на планиране на социалните услуги, преобладаващата част от общинските екипи се затрудниха при изготвяне на анализите и предложенията. Материята се оказа доста сложна за разбиране, както от общините, така и от другите участници в процеса по планиране.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документацията по планирането, общинските администрации срещнаха затруднения, свързани с декомпозирането на настоящите социални услуги, както и разбирането на необходимостта за разкриване на нови социални услуги, за които е изведена потребност на общинско и областно ниво.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Запазва се тенденцията най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голям брой нови социални услуги да се планират в общинските градове на по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големите общини. Липсата на активност в процеса на планиране от страна на общините, се обяснява с недостатъчната информация, относно финансовите стандарти на новите социални услуги, липсата на човешки ресурс, липсата на подходяща материална база.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процеса на изготвяне общинските анализите за потребности и предложения за планиране на СУ и ИЗСУ, общините получиха подкрепа най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вече от областните координатори по Проект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Повишаване капацитета на служители в сферата на закрилата на детето, социалните услуги и социалното подпомагане“ и експертите на АСП, чрез ежеседмичното публикуване на отговори по възникнали въпроси, свързани с планирането.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края на м. април само 130 (или 50,6 %) от 265 -те общини бяха изпратили в Агенцията своите анализи и одобрени на сесия на общински съвет предложения за планиране на социалните услуги в законоустановения срок. Останалите 135 общини подаваха поетапно своите документи в зависимост от датите на сесиите на общинските си съвети, като в края на м. юни 2023 година бяха получени предложенията от всички общини от страната, с изключение на общините: Симитли, обл. Благоевград, Ябланица, обл. Ловеч и Сунгурларе, обл. Бургас.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Следва да се отбележи, че писмото, което МТСП изпрати в края на м. февруари 2023 година до представители на НПО сектора, НСОРБ, АСП, както и организирания от НСОРБ форум на тема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Планиране на СУ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срокове, ангажименти и отговорности на общините“ се отрази негативно на процеса по планиране на общинско ниво и беше в противоречие с всички усилия да се мотивират общините отговорно и съзнателно да изпълнят задълженията си произтичащи от ЗСУ, ППЗСУ, НКСУ, НПСУ.</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Анализът на потребностите на национално ниво от социални услуги и интегрирани здравно-социални услуги на общинско и областно ниво, които се финансират изцяло или частично от държавния бюджет следва утвърдената от изпълнителният директор на АСП структура на анализите на потребностите на общинско ниво. В него са включени всички задължителни законовоопределени елементи:</w:t>
      </w:r>
    </w:p>
    <w:p>
      <w:pPr>
        <w:numPr>
          <w:ilvl w:val="0"/>
          <w:numId w:val="312"/>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показателите по критериите за всички социални и интегрирани здравно-социални услуги, посочени в глава втора (обобщени за цялата страна, по области и по общини);</w:t>
      </w:r>
    </w:p>
    <w:p>
      <w:pPr>
        <w:numPr>
          <w:ilvl w:val="0"/>
          <w:numId w:val="312"/>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съществуващите към момента на изготвянето на анализа социални и интегрирани здравно-социални услуги и брой на техните потребители (общ и по видове услуги и групи потребители) за цялата страна, по области и по общини;</w:t>
      </w:r>
    </w:p>
    <w:p>
      <w:pPr>
        <w:numPr>
          <w:ilvl w:val="0"/>
          <w:numId w:val="312"/>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брой на желаещите да ползват социални и интегрирани здравно-социални услуги (общ и по видове услуги и групи потребители) за цялата страна, по области и по общини;</w:t>
      </w:r>
    </w:p>
    <w:p>
      <w:pPr>
        <w:numPr>
          <w:ilvl w:val="0"/>
          <w:numId w:val="312"/>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различна от общината по настоящ адрес (общ и по видове услуги и по общини);</w:t>
      </w:r>
    </w:p>
    <w:p>
      <w:pPr>
        <w:numPr>
          <w:ilvl w:val="0"/>
          <w:numId w:val="312"/>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данни/информация за демографското развитие за последните 5 години за цялата страна, по области и по общини;</w:t>
      </w:r>
    </w:p>
    <w:p>
      <w:pPr>
        <w:numPr>
          <w:ilvl w:val="0"/>
          <w:numId w:val="312"/>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Същият е структуриран по обособените шест района за планиране на територията на страната: </w:t>
      </w:r>
      <w:r>
        <w:rPr>
          <w:rFonts w:ascii="Times New Roman" w:hAnsi="Times New Roman" w:cs="Times New Roman" w:eastAsia="Times New Roman"/>
          <w:b/>
          <w:color w:val="auto"/>
          <w:spacing w:val="0"/>
          <w:position w:val="0"/>
          <w:sz w:val="24"/>
          <w:shd w:fill="auto" w:val="clear"/>
        </w:rPr>
        <w:t xml:space="preserve">Югозападен район </w:t>
      </w:r>
      <w:r>
        <w:rPr>
          <w:rFonts w:ascii="Times New Roman" w:hAnsi="Times New Roman" w:cs="Times New Roman" w:eastAsia="Times New Roman"/>
          <w:color w:val="auto"/>
          <w:spacing w:val="0"/>
          <w:position w:val="0"/>
          <w:sz w:val="24"/>
          <w:shd w:fill="auto" w:val="clear"/>
        </w:rPr>
        <w:t xml:space="preserve">за планиране (ЮЗРП) обхващащ областите: София, </w:t>
      </w:r>
      <w:hyperlink xmlns:r="http://schemas.openxmlformats.org/officeDocument/2006/relationships" r:id="docRId6">
        <w:r>
          <w:rPr>
            <w:rFonts w:ascii="Times New Roman" w:hAnsi="Times New Roman" w:cs="Times New Roman" w:eastAsia="Times New Roman"/>
            <w:color w:val="0000FF"/>
            <w:spacing w:val="0"/>
            <w:position w:val="0"/>
            <w:sz w:val="24"/>
            <w:u w:val="single"/>
            <w:shd w:fill="auto" w:val="clear"/>
          </w:rPr>
          <w:t xml:space="preserve">Софийска, </w:t>
        </w:r>
        <w:r>
          <w:rPr>
            <w:rFonts w:ascii="Times New Roman" w:hAnsi="Times New Roman" w:cs="Times New Roman" w:eastAsia="Times New Roman"/>
            <w:color w:val="0000FF"/>
            <w:spacing w:val="0"/>
            <w:position w:val="0"/>
            <w:sz w:val="24"/>
            <w:shd w:fill="auto" w:val="clear"/>
          </w:rPr>
          <w:t xml:space="preserve"> HYPERLINK "https://bg.wikipedia.org/wiki/%D0%9E%D0%B1%D0%BB%D0%B0%D1%81%D1%82_%D0%9A%D1%8E%D1%81%D1%82%D0%B5%D0%BD%D0%B4%D0%B8%D0%BB"</w:t>
        </w:r>
        <w:r>
          <w:rPr>
            <w:rFonts w:ascii="Times New Roman" w:hAnsi="Times New Roman" w:cs="Times New Roman" w:eastAsia="Times New Roman"/>
            <w:color w:val="0000FF"/>
            <w:spacing w:val="0"/>
            <w:position w:val="0"/>
            <w:sz w:val="24"/>
            <w:u w:val="single"/>
            <w:shd w:fill="auto" w:val="clear"/>
          </w:rPr>
          <w:t xml:space="preserve">Кюстендил</w:t>
        </w:r>
      </w:hyperlink>
      <w:r>
        <w:rPr>
          <w:rFonts w:ascii="Times New Roman" w:hAnsi="Times New Roman" w:cs="Times New Roman" w:eastAsia="Times New Roman"/>
          <w:color w:val="auto"/>
          <w:spacing w:val="0"/>
          <w:position w:val="0"/>
          <w:sz w:val="24"/>
          <w:shd w:fill="auto" w:val="clear"/>
        </w:rPr>
        <w:t xml:space="preserve">, </w:t>
      </w:r>
      <w:hyperlink xmlns:r="http://schemas.openxmlformats.org/officeDocument/2006/relationships" r:id="docRId7">
        <w:r>
          <w:rPr>
            <w:rFonts w:ascii="Times New Roman" w:hAnsi="Times New Roman" w:cs="Times New Roman" w:eastAsia="Times New Roman"/>
            <w:color w:val="0000FF"/>
            <w:spacing w:val="0"/>
            <w:position w:val="0"/>
            <w:sz w:val="24"/>
            <w:u w:val="single"/>
            <w:shd w:fill="auto" w:val="clear"/>
          </w:rPr>
          <w:t xml:space="preserve">Благоевград</w:t>
        </w:r>
      </w:hyperlink>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w:t>
      </w:r>
      <w:hyperlink xmlns:r="http://schemas.openxmlformats.org/officeDocument/2006/relationships" r:id="docRId8">
        <w:r>
          <w:rPr>
            <w:rFonts w:ascii="Times New Roman" w:hAnsi="Times New Roman" w:cs="Times New Roman" w:eastAsia="Times New Roman"/>
            <w:color w:val="0000FF"/>
            <w:spacing w:val="0"/>
            <w:position w:val="0"/>
            <w:sz w:val="24"/>
            <w:u w:val="single"/>
            <w:shd w:fill="auto" w:val="clear"/>
          </w:rPr>
          <w:t xml:space="preserve">Перник</w:t>
        </w:r>
      </w:hyperlink>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Южен централен район</w:t>
      </w:r>
      <w:r>
        <w:rPr>
          <w:rFonts w:ascii="Times New Roman" w:hAnsi="Times New Roman" w:cs="Times New Roman" w:eastAsia="Times New Roman"/>
          <w:color w:val="auto"/>
          <w:spacing w:val="0"/>
          <w:position w:val="0"/>
          <w:sz w:val="24"/>
          <w:shd w:fill="auto" w:val="clear"/>
        </w:rPr>
        <w:t xml:space="preserve"> за планиране (ЮЦРП) с </w:t>
      </w:r>
      <w:hyperlink xmlns:r="http://schemas.openxmlformats.org/officeDocument/2006/relationships" r:id="docRId9">
        <w:r>
          <w:rPr>
            <w:rFonts w:ascii="Times New Roman" w:hAnsi="Times New Roman" w:cs="Times New Roman" w:eastAsia="Times New Roman"/>
            <w:color w:val="0000FF"/>
            <w:spacing w:val="0"/>
            <w:position w:val="0"/>
            <w:sz w:val="24"/>
            <w:u w:val="single"/>
            <w:shd w:fill="auto" w:val="clear"/>
          </w:rPr>
          <w:t xml:space="preserve">области: </w:t>
        </w:r>
        <w:r>
          <w:rPr>
            <w:rFonts w:ascii="Times New Roman" w:hAnsi="Times New Roman" w:cs="Times New Roman" w:eastAsia="Times New Roman"/>
            <w:color w:val="0000FF"/>
            <w:spacing w:val="0"/>
            <w:position w:val="0"/>
            <w:sz w:val="24"/>
            <w:shd w:fill="auto" w:val="clear"/>
          </w:rPr>
          <w:t xml:space="preserve"> HYPERLINK "https://bg.wikipedia.org/wiki/%D0%9E%D0%B1%D0%BB%D0%B0%D1%81%D1%82_%D0%9F%D0%B0%D0%B7%D0%B0%D1%80%D0%B4%D0%B6%D0%B8%D0%BA"</w:t>
        </w:r>
        <w:r>
          <w:rPr>
            <w:rFonts w:ascii="Times New Roman" w:hAnsi="Times New Roman" w:cs="Times New Roman" w:eastAsia="Times New Roman"/>
            <w:color w:val="0000FF"/>
            <w:spacing w:val="0"/>
            <w:position w:val="0"/>
            <w:sz w:val="24"/>
            <w:u w:val="single"/>
            <w:shd w:fill="auto" w:val="clear"/>
          </w:rPr>
          <w:t xml:space="preserve">Пазарджик</w:t>
        </w:r>
      </w:hyperlink>
      <w:r>
        <w:rPr>
          <w:rFonts w:ascii="Times New Roman" w:hAnsi="Times New Roman" w:cs="Times New Roman" w:eastAsia="Times New Roman"/>
          <w:color w:val="auto"/>
          <w:spacing w:val="0"/>
          <w:position w:val="0"/>
          <w:sz w:val="24"/>
          <w:shd w:fill="auto" w:val="clear"/>
        </w:rPr>
        <w:t xml:space="preserve">, </w:t>
      </w:r>
      <w:hyperlink xmlns:r="http://schemas.openxmlformats.org/officeDocument/2006/relationships" r:id="docRId10">
        <w:r>
          <w:rPr>
            <w:rFonts w:ascii="Times New Roman" w:hAnsi="Times New Roman" w:cs="Times New Roman" w:eastAsia="Times New Roman"/>
            <w:color w:val="0000FF"/>
            <w:spacing w:val="0"/>
            <w:position w:val="0"/>
            <w:sz w:val="24"/>
            <w:u w:val="single"/>
            <w:shd w:fill="auto" w:val="clear"/>
          </w:rPr>
          <w:t xml:space="preserve">Пловдив</w:t>
        </w:r>
      </w:hyperlink>
      <w:r>
        <w:rPr>
          <w:rFonts w:ascii="Times New Roman" w:hAnsi="Times New Roman" w:cs="Times New Roman" w:eastAsia="Times New Roman"/>
          <w:color w:val="auto"/>
          <w:spacing w:val="0"/>
          <w:position w:val="0"/>
          <w:sz w:val="24"/>
          <w:shd w:fill="auto" w:val="clear"/>
        </w:rPr>
        <w:t xml:space="preserve">,</w:t>
      </w:r>
      <w:hyperlink xmlns:r="http://schemas.openxmlformats.org/officeDocument/2006/relationships" r:id="docRId11">
        <w:r>
          <w:rPr>
            <w:rFonts w:ascii="Times New Roman" w:hAnsi="Times New Roman" w:cs="Times New Roman" w:eastAsia="Times New Roman"/>
            <w:color w:val="0000FF"/>
            <w:spacing w:val="0"/>
            <w:position w:val="0"/>
            <w:sz w:val="24"/>
            <w:u w:val="single"/>
            <w:shd w:fill="auto" w:val="clear"/>
          </w:rPr>
          <w:t xml:space="preserve"> </w:t>
        </w:r>
        <w:r>
          <w:rPr>
            <w:rFonts w:ascii="Times New Roman" w:hAnsi="Times New Roman" w:cs="Times New Roman" w:eastAsia="Times New Roman"/>
            <w:color w:val="0000FF"/>
            <w:spacing w:val="0"/>
            <w:position w:val="0"/>
            <w:sz w:val="24"/>
            <w:u w:val="single"/>
            <w:shd w:fill="auto" w:val="clear"/>
          </w:rPr>
          <w:t xml:space="preserve">Смолян</w:t>
        </w:r>
      </w:hyperlink>
      <w:r>
        <w:rPr>
          <w:rFonts w:ascii="Times New Roman" w:hAnsi="Times New Roman" w:cs="Times New Roman" w:eastAsia="Times New Roman"/>
          <w:color w:val="auto"/>
          <w:spacing w:val="0"/>
          <w:position w:val="0"/>
          <w:sz w:val="24"/>
          <w:shd w:fill="auto" w:val="clear"/>
        </w:rPr>
        <w:t xml:space="preserve">, </w:t>
      </w:r>
      <w:hyperlink xmlns:r="http://schemas.openxmlformats.org/officeDocument/2006/relationships" r:id="docRId12">
        <w:r>
          <w:rPr>
            <w:rFonts w:ascii="Times New Roman" w:hAnsi="Times New Roman" w:cs="Times New Roman" w:eastAsia="Times New Roman"/>
            <w:color w:val="0000FF"/>
            <w:spacing w:val="0"/>
            <w:position w:val="0"/>
            <w:sz w:val="24"/>
            <w:u w:val="single"/>
            <w:shd w:fill="auto" w:val="clear"/>
          </w:rPr>
          <w:t xml:space="preserve">Хасково</w:t>
        </w:r>
      </w:hyperlink>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w:t>
      </w:r>
      <w:hyperlink xmlns:r="http://schemas.openxmlformats.org/officeDocument/2006/relationships" r:id="docRId13">
        <w:r>
          <w:rPr>
            <w:rFonts w:ascii="Times New Roman" w:hAnsi="Times New Roman" w:cs="Times New Roman" w:eastAsia="Times New Roman"/>
            <w:color w:val="0000FF"/>
            <w:spacing w:val="0"/>
            <w:position w:val="0"/>
            <w:sz w:val="24"/>
            <w:u w:val="single"/>
            <w:shd w:fill="auto" w:val="clear"/>
          </w:rPr>
          <w:t xml:space="preserve">Кърджали</w:t>
        </w:r>
      </w:hyperlink>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Югоизточен район</w:t>
      </w:r>
      <w:r>
        <w:rPr>
          <w:rFonts w:ascii="Times New Roman" w:hAnsi="Times New Roman" w:cs="Times New Roman" w:eastAsia="Times New Roman"/>
          <w:color w:val="auto"/>
          <w:spacing w:val="0"/>
          <w:position w:val="0"/>
          <w:sz w:val="24"/>
          <w:shd w:fill="auto" w:val="clear"/>
        </w:rPr>
        <w:t xml:space="preserve"> за планиране (ЮИРП), който обхваща </w:t>
      </w:r>
      <w:hyperlink xmlns:r="http://schemas.openxmlformats.org/officeDocument/2006/relationships" r:id="docRId14">
        <w:r>
          <w:rPr>
            <w:rFonts w:ascii="Times New Roman" w:hAnsi="Times New Roman" w:cs="Times New Roman" w:eastAsia="Times New Roman"/>
            <w:color w:val="0000FF"/>
            <w:spacing w:val="0"/>
            <w:position w:val="0"/>
            <w:sz w:val="24"/>
            <w:u w:val="single"/>
            <w:shd w:fill="auto" w:val="clear"/>
          </w:rPr>
          <w:t xml:space="preserve">областите</w:t>
        </w:r>
        <w:r>
          <w:rPr>
            <w:rFonts w:ascii="Times New Roman" w:hAnsi="Times New Roman" w:cs="Times New Roman" w:eastAsia="Times New Roman"/>
            <w:color w:val="0000FF"/>
            <w:spacing w:val="0"/>
            <w:position w:val="0"/>
            <w:sz w:val="24"/>
            <w:shd w:fill="auto" w:val="clear"/>
          </w:rPr>
          <w:t xml:space="preserve"> HYPERLINK "https://bg.wikipedia.org/wiki/%D0%9E%D0%B1%D0%BB%D0%B0%D1%81%D1%82_%D0%A1%D1%82%D0%B0%D1%80%D0%B0_%D0%97%D0%B0%D0%B3%D0%BE%D1%80%D0%B0"</w:t>
        </w:r>
        <w:r>
          <w:rPr>
            <w:rFonts w:ascii="Times New Roman" w:hAnsi="Times New Roman" w:cs="Times New Roman" w:eastAsia="Times New Roman"/>
            <w:color w:val="0000FF"/>
            <w:spacing w:val="0"/>
            <w:position w:val="0"/>
            <w:sz w:val="24"/>
            <w:u w:val="single"/>
            <w:shd w:fill="auto" w:val="clear"/>
          </w:rPr>
          <w:t xml:space="preserve">:</w:t>
        </w:r>
        <w:r>
          <w:rPr>
            <w:rFonts w:ascii="Times New Roman" w:hAnsi="Times New Roman" w:cs="Times New Roman" w:eastAsia="Times New Roman"/>
            <w:color w:val="0000FF"/>
            <w:spacing w:val="0"/>
            <w:position w:val="0"/>
            <w:sz w:val="24"/>
            <w:shd w:fill="auto" w:val="clear"/>
          </w:rPr>
          <w:t xml:space="preserve"> HYPERLINK "https://bg.wikipedia.org/wiki/%D0%9E%D0%B1%D0%BB%D0%B0%D1%81%D1%82_%D0%A1%D1%82%D0%B0%D1%80%D0%B0_%D0%97%D0%B0%D0%B3%D0%BE%D1%80%D0%B0"</w:t>
        </w:r>
        <w:r>
          <w:rPr>
            <w:rFonts w:ascii="Times New Roman" w:hAnsi="Times New Roman" w:cs="Times New Roman" w:eastAsia="Times New Roman"/>
            <w:color w:val="0000FF"/>
            <w:spacing w:val="0"/>
            <w:position w:val="0"/>
            <w:sz w:val="24"/>
            <w:u w:val="single"/>
            <w:shd w:fill="auto" w:val="clear"/>
          </w:rPr>
          <w:t xml:space="preserve"> </w:t>
        </w:r>
        <w:r>
          <w:rPr>
            <w:rFonts w:ascii="Times New Roman" w:hAnsi="Times New Roman" w:cs="Times New Roman" w:eastAsia="Times New Roman"/>
            <w:color w:val="0000FF"/>
            <w:spacing w:val="0"/>
            <w:position w:val="0"/>
            <w:sz w:val="24"/>
            <w:u w:val="single"/>
            <w:shd w:fill="auto" w:val="clear"/>
          </w:rPr>
          <w:t xml:space="preserve">Стара Загора</w:t>
        </w:r>
      </w:hyperlink>
      <w:r>
        <w:rPr>
          <w:rFonts w:ascii="Times New Roman" w:hAnsi="Times New Roman" w:cs="Times New Roman" w:eastAsia="Times New Roman"/>
          <w:color w:val="auto"/>
          <w:spacing w:val="0"/>
          <w:position w:val="0"/>
          <w:sz w:val="24"/>
          <w:shd w:fill="auto" w:val="clear"/>
        </w:rPr>
        <w:t xml:space="preserve">, </w:t>
      </w:r>
      <w:hyperlink xmlns:r="http://schemas.openxmlformats.org/officeDocument/2006/relationships" r:id="docRId15">
        <w:r>
          <w:rPr>
            <w:rFonts w:ascii="Times New Roman" w:hAnsi="Times New Roman" w:cs="Times New Roman" w:eastAsia="Times New Roman"/>
            <w:color w:val="0000FF"/>
            <w:spacing w:val="0"/>
            <w:position w:val="0"/>
            <w:sz w:val="24"/>
            <w:u w:val="single"/>
            <w:shd w:fill="auto" w:val="clear"/>
          </w:rPr>
          <w:t xml:space="preserve">Сливен</w:t>
        </w:r>
      </w:hyperlink>
      <w:r>
        <w:rPr>
          <w:rFonts w:ascii="Times New Roman" w:hAnsi="Times New Roman" w:cs="Times New Roman" w:eastAsia="Times New Roman"/>
          <w:color w:val="auto"/>
          <w:spacing w:val="0"/>
          <w:position w:val="0"/>
          <w:sz w:val="24"/>
          <w:shd w:fill="auto" w:val="clear"/>
        </w:rPr>
        <w:t xml:space="preserve">, </w:t>
      </w:r>
      <w:hyperlink xmlns:r="http://schemas.openxmlformats.org/officeDocument/2006/relationships" r:id="docRId16">
        <w:r>
          <w:rPr>
            <w:rFonts w:ascii="Times New Roman" w:hAnsi="Times New Roman" w:cs="Times New Roman" w:eastAsia="Times New Roman"/>
            <w:color w:val="0000FF"/>
            <w:spacing w:val="0"/>
            <w:position w:val="0"/>
            <w:sz w:val="24"/>
            <w:u w:val="single"/>
            <w:shd w:fill="auto" w:val="clear"/>
          </w:rPr>
          <w:t xml:space="preserve">Ямбол</w:t>
        </w:r>
      </w:hyperlink>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w:t>
      </w:r>
      <w:hyperlink xmlns:r="http://schemas.openxmlformats.org/officeDocument/2006/relationships" r:id="docRId17">
        <w:r>
          <w:rPr>
            <w:rFonts w:ascii="Times New Roman" w:hAnsi="Times New Roman" w:cs="Times New Roman" w:eastAsia="Times New Roman"/>
            <w:color w:val="0000FF"/>
            <w:spacing w:val="0"/>
            <w:position w:val="0"/>
            <w:sz w:val="24"/>
            <w:u w:val="single"/>
            <w:shd w:fill="auto" w:val="clear"/>
          </w:rPr>
          <w:t xml:space="preserve">Бургас</w:t>
        </w:r>
      </w:hyperlink>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Североизточен район</w:t>
      </w:r>
      <w:r>
        <w:rPr>
          <w:rFonts w:ascii="Times New Roman" w:hAnsi="Times New Roman" w:cs="Times New Roman" w:eastAsia="Times New Roman"/>
          <w:color w:val="auto"/>
          <w:spacing w:val="0"/>
          <w:position w:val="0"/>
          <w:sz w:val="24"/>
          <w:shd w:fill="auto" w:val="clear"/>
        </w:rPr>
        <w:t xml:space="preserve"> за планиране (СИРП), чиято територия обхваща </w:t>
      </w:r>
      <w:hyperlink xmlns:r="http://schemas.openxmlformats.org/officeDocument/2006/relationships" r:id="docRId18">
        <w:r>
          <w:rPr>
            <w:rFonts w:ascii="Times New Roman" w:hAnsi="Times New Roman" w:cs="Times New Roman" w:eastAsia="Times New Roman"/>
            <w:color w:val="0000FF"/>
            <w:spacing w:val="0"/>
            <w:position w:val="0"/>
            <w:sz w:val="24"/>
            <w:u w:val="single"/>
            <w:shd w:fill="auto" w:val="clear"/>
          </w:rPr>
          <w:t xml:space="preserve">областите</w:t>
        </w:r>
        <w:r>
          <w:rPr>
            <w:rFonts w:ascii="Times New Roman" w:hAnsi="Times New Roman" w:cs="Times New Roman" w:eastAsia="Times New Roman"/>
            <w:color w:val="0000FF"/>
            <w:spacing w:val="0"/>
            <w:position w:val="0"/>
            <w:sz w:val="24"/>
            <w:shd w:fill="auto" w:val="clear"/>
          </w:rPr>
          <w:t xml:space="preserve"> HYPERLINK "https://bg.wikipedia.org/wiki/%D0%9E%D0%B1%D0%BB%D0%B0%D1%81%D1%82_%D0%92%D0%B0%D1%80%D0%BD%D0%B0"</w:t>
        </w:r>
        <w:r>
          <w:rPr>
            <w:rFonts w:ascii="Times New Roman" w:hAnsi="Times New Roman" w:cs="Times New Roman" w:eastAsia="Times New Roman"/>
            <w:color w:val="0000FF"/>
            <w:spacing w:val="0"/>
            <w:position w:val="0"/>
            <w:sz w:val="24"/>
            <w:u w:val="single"/>
            <w:shd w:fill="auto" w:val="clear"/>
          </w:rPr>
          <w:t xml:space="preserve">:</w:t>
        </w:r>
        <w:r>
          <w:rPr>
            <w:rFonts w:ascii="Times New Roman" w:hAnsi="Times New Roman" w:cs="Times New Roman" w:eastAsia="Times New Roman"/>
            <w:color w:val="0000FF"/>
            <w:spacing w:val="0"/>
            <w:position w:val="0"/>
            <w:sz w:val="24"/>
            <w:shd w:fill="auto" w:val="clear"/>
          </w:rPr>
          <w:t xml:space="preserve"> HYPERLINK "https://bg.wikipedia.org/wiki/%D0%9E%D0%B1%D0%BB%D0%B0%D1%81%D1%82_%D0%92%D0%B0%D1%80%D0%BD%D0%B0"</w:t>
        </w:r>
        <w:r>
          <w:rPr>
            <w:rFonts w:ascii="Times New Roman" w:hAnsi="Times New Roman" w:cs="Times New Roman" w:eastAsia="Times New Roman"/>
            <w:color w:val="0000FF"/>
            <w:spacing w:val="0"/>
            <w:position w:val="0"/>
            <w:sz w:val="24"/>
            <w:u w:val="single"/>
            <w:shd w:fill="auto" w:val="clear"/>
          </w:rPr>
          <w:t xml:space="preserve"> </w:t>
        </w:r>
        <w:r>
          <w:rPr>
            <w:rFonts w:ascii="Times New Roman" w:hAnsi="Times New Roman" w:cs="Times New Roman" w:eastAsia="Times New Roman"/>
            <w:color w:val="0000FF"/>
            <w:spacing w:val="0"/>
            <w:position w:val="0"/>
            <w:sz w:val="24"/>
            <w:u w:val="single"/>
            <w:shd w:fill="auto" w:val="clear"/>
          </w:rPr>
          <w:t xml:space="preserve">Варна</w:t>
        </w:r>
      </w:hyperlink>
      <w:r>
        <w:rPr>
          <w:rFonts w:ascii="Times New Roman" w:hAnsi="Times New Roman" w:cs="Times New Roman" w:eastAsia="Times New Roman"/>
          <w:color w:val="auto"/>
          <w:spacing w:val="0"/>
          <w:position w:val="0"/>
          <w:sz w:val="24"/>
          <w:shd w:fill="auto" w:val="clear"/>
        </w:rPr>
        <w:t xml:space="preserve">, </w:t>
      </w:r>
      <w:hyperlink xmlns:r="http://schemas.openxmlformats.org/officeDocument/2006/relationships" r:id="docRId19">
        <w:r>
          <w:rPr>
            <w:rFonts w:ascii="Times New Roman" w:hAnsi="Times New Roman" w:cs="Times New Roman" w:eastAsia="Times New Roman"/>
            <w:color w:val="0000FF"/>
            <w:spacing w:val="0"/>
            <w:position w:val="0"/>
            <w:sz w:val="24"/>
            <w:u w:val="single"/>
            <w:shd w:fill="auto" w:val="clear"/>
          </w:rPr>
          <w:t xml:space="preserve">Добрич</w:t>
        </w:r>
      </w:hyperlink>
      <w:r>
        <w:rPr>
          <w:rFonts w:ascii="Times New Roman" w:hAnsi="Times New Roman" w:cs="Times New Roman" w:eastAsia="Times New Roman"/>
          <w:color w:val="auto"/>
          <w:spacing w:val="0"/>
          <w:position w:val="0"/>
          <w:sz w:val="24"/>
          <w:shd w:fill="auto" w:val="clear"/>
        </w:rPr>
        <w:t xml:space="preserve">, </w:t>
      </w:r>
      <w:hyperlink xmlns:r="http://schemas.openxmlformats.org/officeDocument/2006/relationships" r:id="docRId20">
        <w:r>
          <w:rPr>
            <w:rFonts w:ascii="Times New Roman" w:hAnsi="Times New Roman" w:cs="Times New Roman" w:eastAsia="Times New Roman"/>
            <w:color w:val="0000FF"/>
            <w:spacing w:val="0"/>
            <w:position w:val="0"/>
            <w:sz w:val="24"/>
            <w:u w:val="single"/>
            <w:shd w:fill="auto" w:val="clear"/>
          </w:rPr>
          <w:t xml:space="preserve">Търговище</w:t>
        </w:r>
      </w:hyperlink>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w:t>
      </w:r>
      <w:hyperlink xmlns:r="http://schemas.openxmlformats.org/officeDocument/2006/relationships" r:id="docRId21">
        <w:r>
          <w:rPr>
            <w:rFonts w:ascii="Times New Roman" w:hAnsi="Times New Roman" w:cs="Times New Roman" w:eastAsia="Times New Roman"/>
            <w:color w:val="0000FF"/>
            <w:spacing w:val="0"/>
            <w:position w:val="0"/>
            <w:sz w:val="24"/>
            <w:u w:val="single"/>
            <w:shd w:fill="auto" w:val="clear"/>
          </w:rPr>
          <w:t xml:space="preserve">Шумен</w:t>
        </w:r>
      </w:hyperlink>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Северен централен район</w:t>
      </w:r>
      <w:r>
        <w:rPr>
          <w:rFonts w:ascii="Times New Roman" w:hAnsi="Times New Roman" w:cs="Times New Roman" w:eastAsia="Times New Roman"/>
          <w:color w:val="auto"/>
          <w:spacing w:val="0"/>
          <w:position w:val="0"/>
          <w:sz w:val="24"/>
          <w:shd w:fill="auto" w:val="clear"/>
        </w:rPr>
        <w:t xml:space="preserve"> за планиране (СЦРП), включващ областите: Велико Търново,</w:t>
      </w:r>
      <w:hyperlink xmlns:r="http://schemas.openxmlformats.org/officeDocument/2006/relationships" r:id="docRId22">
        <w:r>
          <w:rPr>
            <w:rFonts w:ascii="Times New Roman" w:hAnsi="Times New Roman" w:cs="Times New Roman" w:eastAsia="Times New Roman"/>
            <w:color w:val="0000FF"/>
            <w:spacing w:val="0"/>
            <w:position w:val="0"/>
            <w:sz w:val="24"/>
            <w:u w:val="single"/>
            <w:shd w:fill="auto" w:val="clear"/>
          </w:rPr>
          <w:t xml:space="preserve"> Габрово</w:t>
        </w:r>
      </w:hyperlink>
      <w:r>
        <w:rPr>
          <w:rFonts w:ascii="Times New Roman" w:hAnsi="Times New Roman" w:cs="Times New Roman" w:eastAsia="Times New Roman"/>
          <w:color w:val="auto"/>
          <w:spacing w:val="0"/>
          <w:position w:val="0"/>
          <w:sz w:val="24"/>
          <w:shd w:fill="auto" w:val="clear"/>
        </w:rPr>
        <w:t xml:space="preserve">, </w:t>
      </w:r>
      <w:hyperlink xmlns:r="http://schemas.openxmlformats.org/officeDocument/2006/relationships" r:id="docRId23">
        <w:r>
          <w:rPr>
            <w:rFonts w:ascii="Times New Roman" w:hAnsi="Times New Roman" w:cs="Times New Roman" w:eastAsia="Times New Roman"/>
            <w:color w:val="0000FF"/>
            <w:spacing w:val="0"/>
            <w:position w:val="0"/>
            <w:sz w:val="24"/>
            <w:u w:val="single"/>
            <w:shd w:fill="auto" w:val="clear"/>
          </w:rPr>
          <w:t xml:space="preserve">Русе</w:t>
        </w:r>
      </w:hyperlink>
      <w:r>
        <w:rPr>
          <w:rFonts w:ascii="Times New Roman" w:hAnsi="Times New Roman" w:cs="Times New Roman" w:eastAsia="Times New Roman"/>
          <w:color w:val="auto"/>
          <w:spacing w:val="0"/>
          <w:position w:val="0"/>
          <w:sz w:val="24"/>
          <w:shd w:fill="auto" w:val="clear"/>
        </w:rPr>
        <w:t xml:space="preserve">, </w:t>
      </w:r>
      <w:hyperlink xmlns:r="http://schemas.openxmlformats.org/officeDocument/2006/relationships" r:id="docRId24">
        <w:r>
          <w:rPr>
            <w:rFonts w:ascii="Times New Roman" w:hAnsi="Times New Roman" w:cs="Times New Roman" w:eastAsia="Times New Roman"/>
            <w:color w:val="0000FF"/>
            <w:spacing w:val="0"/>
            <w:position w:val="0"/>
            <w:sz w:val="24"/>
            <w:u w:val="single"/>
            <w:shd w:fill="auto" w:val="clear"/>
          </w:rPr>
          <w:t xml:space="preserve">Разград</w:t>
        </w:r>
      </w:hyperlink>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w:t>
      </w:r>
      <w:hyperlink xmlns:r="http://schemas.openxmlformats.org/officeDocument/2006/relationships" r:id="docRId25">
        <w:r>
          <w:rPr>
            <w:rFonts w:ascii="Times New Roman" w:hAnsi="Times New Roman" w:cs="Times New Roman" w:eastAsia="Times New Roman"/>
            <w:color w:val="0000FF"/>
            <w:spacing w:val="0"/>
            <w:position w:val="0"/>
            <w:sz w:val="24"/>
            <w:u w:val="single"/>
            <w:shd w:fill="auto" w:val="clear"/>
          </w:rPr>
          <w:t xml:space="preserve">Силистра</w:t>
        </w:r>
      </w:hyperlink>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Северозападен район</w:t>
      </w:r>
      <w:r>
        <w:rPr>
          <w:rFonts w:ascii="Times New Roman" w:hAnsi="Times New Roman" w:cs="Times New Roman" w:eastAsia="Times New Roman"/>
          <w:color w:val="auto"/>
          <w:spacing w:val="0"/>
          <w:position w:val="0"/>
          <w:sz w:val="24"/>
          <w:shd w:fill="auto" w:val="clear"/>
        </w:rPr>
        <w:t xml:space="preserve"> за планиране (СЗРП) с областите: Видин, Враца, Монтана, Плевен и Ловеч.</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Данните по критериите за определяне в Националната карта на социалните услуги на максималния брой на потребителите на всички социални услуги, за които се осигурява изцяло или частично финансиране от държавния бюджет са дадени към анализа на всяка община в диаграма на която критериите са номерирани както следва: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222"/>
        <w:gridCol w:w="6838"/>
      </w:tblGrid>
      <w:tr>
        <w:trPr>
          <w:trHeight w:val="300" w:hRule="auto"/>
          <w:jc w:val="left"/>
        </w:trPr>
        <w:tc>
          <w:tcPr>
            <w:tcW w:w="22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Критерий 1</w:t>
            </w:r>
          </w:p>
        </w:tc>
        <w:tc>
          <w:tcPr>
            <w:tcW w:w="68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общ брой на населението </w:t>
            </w:r>
          </w:p>
        </w:tc>
      </w:tr>
      <w:tr>
        <w:trPr>
          <w:trHeight w:val="288" w:hRule="auto"/>
          <w:jc w:val="left"/>
        </w:trPr>
        <w:tc>
          <w:tcPr>
            <w:tcW w:w="22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Критерий 2</w:t>
            </w:r>
          </w:p>
        </w:tc>
        <w:tc>
          <w:tcPr>
            <w:tcW w:w="68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общ брой на пълнолетните лица </w:t>
            </w:r>
          </w:p>
        </w:tc>
      </w:tr>
      <w:tr>
        <w:trPr>
          <w:trHeight w:val="288" w:hRule="auto"/>
          <w:jc w:val="left"/>
        </w:trPr>
        <w:tc>
          <w:tcPr>
            <w:tcW w:w="22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Критерий 3</w:t>
            </w:r>
          </w:p>
        </w:tc>
        <w:tc>
          <w:tcPr>
            <w:tcW w:w="68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общ брой на децата до 18-годишна възраст </w:t>
            </w:r>
          </w:p>
        </w:tc>
      </w:tr>
      <w:tr>
        <w:trPr>
          <w:trHeight w:val="288" w:hRule="auto"/>
          <w:jc w:val="left"/>
        </w:trPr>
        <w:tc>
          <w:tcPr>
            <w:tcW w:w="22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Критерий 4</w:t>
            </w:r>
          </w:p>
        </w:tc>
        <w:tc>
          <w:tcPr>
            <w:tcW w:w="68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общ брой на лицата в надтрудоспособна възраст </w:t>
            </w:r>
          </w:p>
        </w:tc>
      </w:tr>
      <w:tr>
        <w:trPr>
          <w:trHeight w:val="288" w:hRule="auto"/>
          <w:jc w:val="left"/>
        </w:trPr>
        <w:tc>
          <w:tcPr>
            <w:tcW w:w="22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Критерий 5</w:t>
            </w:r>
          </w:p>
        </w:tc>
        <w:tc>
          <w:tcPr>
            <w:tcW w:w="68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общ брой на пълнолетните лица с трайни увреждания </w:t>
            </w:r>
          </w:p>
        </w:tc>
      </w:tr>
      <w:tr>
        <w:trPr>
          <w:trHeight w:val="288" w:hRule="auto"/>
          <w:jc w:val="left"/>
        </w:trPr>
        <w:tc>
          <w:tcPr>
            <w:tcW w:w="22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Критерий 6</w:t>
            </w:r>
          </w:p>
        </w:tc>
        <w:tc>
          <w:tcPr>
            <w:tcW w:w="68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общ брой на децата с трайни увреждания до 18-годишна възраст </w:t>
            </w:r>
          </w:p>
        </w:tc>
      </w:tr>
      <w:tr>
        <w:trPr>
          <w:trHeight w:val="288" w:hRule="auto"/>
          <w:jc w:val="left"/>
        </w:trPr>
        <w:tc>
          <w:tcPr>
            <w:tcW w:w="22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Критерий 7</w:t>
            </w:r>
          </w:p>
        </w:tc>
        <w:tc>
          <w:tcPr>
            <w:tcW w:w="68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общ брой на децата от 0 до 7 г. </w:t>
            </w:r>
          </w:p>
        </w:tc>
      </w:tr>
      <w:tr>
        <w:trPr>
          <w:trHeight w:val="288" w:hRule="auto"/>
          <w:jc w:val="left"/>
        </w:trPr>
        <w:tc>
          <w:tcPr>
            <w:tcW w:w="22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Критерий 8</w:t>
            </w:r>
          </w:p>
        </w:tc>
        <w:tc>
          <w:tcPr>
            <w:tcW w:w="68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общ брой на лицата с трайни увреждания </w:t>
            </w:r>
          </w:p>
        </w:tc>
      </w:tr>
      <w:tr>
        <w:trPr>
          <w:trHeight w:val="288" w:hRule="auto"/>
          <w:jc w:val="left"/>
        </w:trPr>
        <w:tc>
          <w:tcPr>
            <w:tcW w:w="22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Критерий 9</w:t>
            </w:r>
          </w:p>
        </w:tc>
        <w:tc>
          <w:tcPr>
            <w:tcW w:w="68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общ брой на пълнолетните лица с трайни увреждания в трудоспособна възраст </w:t>
            </w:r>
          </w:p>
        </w:tc>
      </w:tr>
      <w:tr>
        <w:trPr>
          <w:trHeight w:val="288" w:hRule="auto"/>
          <w:jc w:val="left"/>
        </w:trPr>
        <w:tc>
          <w:tcPr>
            <w:tcW w:w="22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Критерий 10</w:t>
            </w:r>
          </w:p>
        </w:tc>
        <w:tc>
          <w:tcPr>
            <w:tcW w:w="68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общ брой на децата с трайни увреждания, живеещи в домашна среда </w:t>
            </w:r>
          </w:p>
        </w:tc>
      </w:tr>
      <w:tr>
        <w:trPr>
          <w:trHeight w:val="576" w:hRule="auto"/>
          <w:jc w:val="left"/>
        </w:trPr>
        <w:tc>
          <w:tcPr>
            <w:tcW w:w="22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Критерий 11</w:t>
            </w:r>
          </w:p>
        </w:tc>
        <w:tc>
          <w:tcPr>
            <w:tcW w:w="68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на пълнолетните лица с трайни увреждания в невъзможност за самообслужване, живеещи в домашна среда </w:t>
            </w:r>
          </w:p>
        </w:tc>
      </w:tr>
      <w:tr>
        <w:trPr>
          <w:trHeight w:val="288" w:hRule="auto"/>
          <w:jc w:val="left"/>
        </w:trPr>
        <w:tc>
          <w:tcPr>
            <w:tcW w:w="22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Критерий 12</w:t>
            </w:r>
          </w:p>
        </w:tc>
        <w:tc>
          <w:tcPr>
            <w:tcW w:w="68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на децата без увреждания до 18-годишна възраст </w:t>
            </w:r>
          </w:p>
        </w:tc>
      </w:tr>
      <w:tr>
        <w:trPr>
          <w:trHeight w:val="288" w:hRule="auto"/>
          <w:jc w:val="left"/>
        </w:trPr>
        <w:tc>
          <w:tcPr>
            <w:tcW w:w="22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Критерий 13</w:t>
            </w:r>
          </w:p>
        </w:tc>
        <w:tc>
          <w:tcPr>
            <w:tcW w:w="68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общ брой на пълнолетните лица с психични разстройства</w:t>
            </w:r>
          </w:p>
        </w:tc>
      </w:tr>
      <w:tr>
        <w:trPr>
          <w:trHeight w:val="576" w:hRule="auto"/>
          <w:jc w:val="left"/>
        </w:trPr>
        <w:tc>
          <w:tcPr>
            <w:tcW w:w="22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Критерий 14</w:t>
            </w:r>
          </w:p>
        </w:tc>
        <w:tc>
          <w:tcPr>
            <w:tcW w:w="68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на пълнолетните лица с психични разстройства в невъзможност за самообслужване, живеещи в домашна среда</w:t>
            </w:r>
          </w:p>
        </w:tc>
      </w:tr>
      <w:tr>
        <w:trPr>
          <w:trHeight w:val="288" w:hRule="auto"/>
          <w:jc w:val="left"/>
        </w:trPr>
        <w:tc>
          <w:tcPr>
            <w:tcW w:w="22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Критерий 15</w:t>
            </w:r>
          </w:p>
        </w:tc>
        <w:tc>
          <w:tcPr>
            <w:tcW w:w="68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общ брой на пълнолетните лица с интелектуални затруднения</w:t>
            </w:r>
          </w:p>
        </w:tc>
      </w:tr>
      <w:tr>
        <w:trPr>
          <w:trHeight w:val="576" w:hRule="auto"/>
          <w:jc w:val="left"/>
        </w:trPr>
        <w:tc>
          <w:tcPr>
            <w:tcW w:w="22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Критерий 16</w:t>
            </w:r>
          </w:p>
        </w:tc>
        <w:tc>
          <w:tcPr>
            <w:tcW w:w="68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на пълнолетните лица с интелектуални затруднения в невъзможност за самообслужване, живеещи в домашна среда</w:t>
            </w:r>
          </w:p>
        </w:tc>
      </w:tr>
      <w:tr>
        <w:trPr>
          <w:trHeight w:val="288" w:hRule="auto"/>
          <w:jc w:val="left"/>
        </w:trPr>
        <w:tc>
          <w:tcPr>
            <w:tcW w:w="22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Критерий 17</w:t>
            </w:r>
          </w:p>
        </w:tc>
        <w:tc>
          <w:tcPr>
            <w:tcW w:w="68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общ брой на пълнолетните лица с физически увреждания</w:t>
            </w:r>
          </w:p>
        </w:tc>
      </w:tr>
      <w:tr>
        <w:trPr>
          <w:trHeight w:val="576" w:hRule="auto"/>
          <w:jc w:val="left"/>
        </w:trPr>
        <w:tc>
          <w:tcPr>
            <w:tcW w:w="22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Критерий 18</w:t>
            </w:r>
          </w:p>
        </w:tc>
        <w:tc>
          <w:tcPr>
            <w:tcW w:w="68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на пълнолетните лица с физически увреждания в невъзможност за самообслужване, живеещи в домашна среда</w:t>
            </w:r>
          </w:p>
        </w:tc>
      </w:tr>
      <w:tr>
        <w:trPr>
          <w:trHeight w:val="288" w:hRule="auto"/>
          <w:jc w:val="left"/>
        </w:trPr>
        <w:tc>
          <w:tcPr>
            <w:tcW w:w="22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Критерий 19</w:t>
            </w:r>
          </w:p>
        </w:tc>
        <w:tc>
          <w:tcPr>
            <w:tcW w:w="68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общ брой на пълнолетните лица с деменция</w:t>
            </w:r>
          </w:p>
        </w:tc>
      </w:tr>
      <w:tr>
        <w:trPr>
          <w:trHeight w:val="576" w:hRule="auto"/>
          <w:jc w:val="left"/>
        </w:trPr>
        <w:tc>
          <w:tcPr>
            <w:tcW w:w="22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Критерий 20</w:t>
            </w:r>
          </w:p>
        </w:tc>
        <w:tc>
          <w:tcPr>
            <w:tcW w:w="68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на пълнолетните лица с деменция в невъзможност за самообслужване, живеещи в домашна среда</w:t>
            </w:r>
          </w:p>
        </w:tc>
      </w:tr>
      <w:tr>
        <w:trPr>
          <w:trHeight w:val="288" w:hRule="auto"/>
          <w:jc w:val="left"/>
        </w:trPr>
        <w:tc>
          <w:tcPr>
            <w:tcW w:w="22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Критерий 21</w:t>
            </w:r>
          </w:p>
        </w:tc>
        <w:tc>
          <w:tcPr>
            <w:tcW w:w="68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общ брой на пълнолетните лица със сетивни увреждания</w:t>
            </w:r>
          </w:p>
        </w:tc>
      </w:tr>
      <w:tr>
        <w:trPr>
          <w:trHeight w:val="576" w:hRule="auto"/>
          <w:jc w:val="left"/>
        </w:trPr>
        <w:tc>
          <w:tcPr>
            <w:tcW w:w="22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Критерий 22</w:t>
            </w:r>
          </w:p>
        </w:tc>
        <w:tc>
          <w:tcPr>
            <w:tcW w:w="68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на пълнолетните лица със сетивни увреждания в невъзможност за самообслужване, живеещи в домашна среда</w:t>
            </w:r>
          </w:p>
        </w:tc>
      </w:tr>
      <w:tr>
        <w:trPr>
          <w:trHeight w:val="288" w:hRule="auto"/>
          <w:jc w:val="left"/>
        </w:trPr>
        <w:tc>
          <w:tcPr>
            <w:tcW w:w="22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Критерий 23</w:t>
            </w:r>
          </w:p>
        </w:tc>
        <w:tc>
          <w:tcPr>
            <w:tcW w:w="68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на лицата в надтрудоспособна възраст без увреждания</w:t>
            </w:r>
          </w:p>
        </w:tc>
      </w:tr>
      <w:tr>
        <w:trPr>
          <w:trHeight w:val="576" w:hRule="auto"/>
          <w:jc w:val="left"/>
        </w:trPr>
        <w:tc>
          <w:tcPr>
            <w:tcW w:w="22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Критерий 24</w:t>
            </w:r>
          </w:p>
        </w:tc>
        <w:tc>
          <w:tcPr>
            <w:tcW w:w="68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на лицата в надтрудоспособна възраст без увреждания в невъзможност за самообслужване, живеещи в домашна среда</w:t>
            </w:r>
          </w:p>
        </w:tc>
      </w:tr>
      <w:tr>
        <w:trPr>
          <w:trHeight w:val="288" w:hRule="auto"/>
          <w:jc w:val="left"/>
        </w:trPr>
        <w:tc>
          <w:tcPr>
            <w:tcW w:w="22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Критерий 25</w:t>
            </w:r>
          </w:p>
        </w:tc>
        <w:tc>
          <w:tcPr>
            <w:tcW w:w="68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на живеещите в домашна среда деца с трайни увреждания</w:t>
            </w:r>
          </w:p>
        </w:tc>
      </w:tr>
      <w:tr>
        <w:trPr>
          <w:trHeight w:val="288" w:hRule="auto"/>
          <w:jc w:val="left"/>
        </w:trPr>
        <w:tc>
          <w:tcPr>
            <w:tcW w:w="22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Критерий 26</w:t>
            </w:r>
          </w:p>
        </w:tc>
        <w:tc>
          <w:tcPr>
            <w:tcW w:w="68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общ брой на пълнолетните лица с трайни увреждания с определена чужда помощ</w:t>
            </w:r>
          </w:p>
        </w:tc>
      </w:tr>
      <w:tr>
        <w:trPr>
          <w:trHeight w:val="576" w:hRule="auto"/>
          <w:jc w:val="left"/>
        </w:trPr>
        <w:tc>
          <w:tcPr>
            <w:tcW w:w="22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Критерий 27</w:t>
            </w:r>
          </w:p>
        </w:tc>
        <w:tc>
          <w:tcPr>
            <w:tcW w:w="68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на живеещите в домашна среда пълнолетни лица с трайни увреждания с определена чужда помощ</w:t>
            </w:r>
          </w:p>
        </w:tc>
      </w:tr>
      <w:tr>
        <w:trPr>
          <w:trHeight w:val="288" w:hRule="auto"/>
          <w:jc w:val="left"/>
        </w:trPr>
        <w:tc>
          <w:tcPr>
            <w:tcW w:w="22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Критерий 28</w:t>
            </w:r>
          </w:p>
        </w:tc>
        <w:tc>
          <w:tcPr>
            <w:tcW w:w="68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общ брой на лицата в надтрудоспособна възраст в невъзможност за самообслужване</w:t>
            </w:r>
          </w:p>
        </w:tc>
      </w:tr>
      <w:tr>
        <w:trPr>
          <w:trHeight w:val="588" w:hRule="auto"/>
          <w:jc w:val="left"/>
        </w:trPr>
        <w:tc>
          <w:tcPr>
            <w:tcW w:w="22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Критерий 29</w:t>
            </w:r>
          </w:p>
        </w:tc>
        <w:tc>
          <w:tcPr>
            <w:tcW w:w="68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на живеещите в домашна среда лица в надтрудоспособна възраст в невъзможност за самообслужване</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обработването на информацията в представените от общините анализи се установи разминаване на данните, попълнени по критериите за определяне в Националната карта на социалните услуги на максималния брой на потребителите на всички социални услуги, за които се осигурява изцяло или частично финансиране от държавния бюджет, предимно в общ брой население, който не се равнява на сумата на общия брой пълнолетни и непълнолетни лица. Това несъответствие се установи почти във всички области - в шест от осем общини в област Русе, е налице несъответствие в попълването на цифрите; от седем общини в област Разград, разминаване се установи само за две общини; в област Стара Загора подобен проблем е засечен в три от общо единадесет общини; от 12-те общини на област Варна в три от тях има такива сборни грешки; в областите Ловеч, Велико Търново, Шумен, Монтана и Смолян разминаването на цифрите в общ брой население и сумирането на общия брой пълнолетни и непълнолетни лица се наблюдава в две общини; в областите Габрово и Пазарджик три са общините с некоректни данни; от 22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те общини на територията на Софийска област, само в пет от тях са констатирани разминаване в данните; в областите Добрич, Сливен и Хасково разминаване в данните се установи в една община; в област Търговище, общините с некоректни данни са три, в областите Плевен и Видин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4 </w:t>
      </w:r>
      <w:r>
        <w:rPr>
          <w:rFonts w:ascii="Times New Roman" w:hAnsi="Times New Roman" w:cs="Times New Roman" w:eastAsia="Times New Roman"/>
          <w:color w:val="auto"/>
          <w:spacing w:val="0"/>
          <w:position w:val="0"/>
          <w:sz w:val="24"/>
          <w:shd w:fill="auto" w:val="clear"/>
        </w:rPr>
        <w:t xml:space="preserve">броя; разминаване в цифрите в подадените данни от общините в област Благоевград се установи, че е налице при седем от тях; за област Пловдив от 18 общини в 9 има разминаване на цифрите в общ брой население и сумирането на общия брой пълнолетни и непълнолетни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областите Перник, Бургас, Кърджали, София град и Кюстендил няма разминаване на цифрите между общия брой население и сумата на деца и пълнолетни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Във връзка с констатираното бе изискана чрез назначените областни координатори по проект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Повишаване капацитета на служители в сферата на закрилата на детето, социалните услуги и социалното подпомагане“ от общините разяснения и уточнение за разминаването на данните по критерии 1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общ брой на населението“, които не се равняват към сумирането на данните по критерии 2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общ брой на пълнолетните лица“ и данните по критерии 3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общ брой на децата до 18-годишна възраст“. При някои от общините е допусната техническа или аритметична грешка, която своевременно бе отстранена.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Като основна причина за разминаването на данните, общините посочват различните официални източници, които са ползвали при попълването им, като са разглеждани няколко варианта, базирани на различията в данните предоставяни от статистиката на НСИ и служба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ГРАО“ и в окончателния вариант е прието да се използват официалните данни с по-благоприятните цифри при критериите за определянето на потребностите от социалните услуги в Националната карта.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Съгласно регламента на чл. 44, ал.3, т.5 от Наредбата за планиране на социалните услуги е поискана допълнителна информация от общините по изготвения анализ по електронен път, като част от тях извършиха корекция в данните към съответните критерии, както и в анализите си, например общините: Елхово, Ямбол, Малко Търново, Руен, Созопол, Средец, Гурково, Казанлък, Николаево, Стара Загора, Георги Дамяново Белене, Чипровци, Долни Дъбник, Левски, Червен бряг, Сатовча, Симитли, Гърмен, Раковски и други. Другата част не направиха съответните корекции, като настояха да оставят по-благоприятните цифри при критериите за определянето на потребностите от социалните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някои общини (Вършец, Георги Дамяново, Нова Загора, Симитли, Гърмен, Благоевград, Стамболийски, Садово, Раковски, Омуртаг, Пловдив, Куклен, Гоце Делчев, Симитли, Попово, Опака, Антоново и др.) е изискано да преразгледат и допълнят таблица Данни/информация за демографско развитие в община за последните 5 години от Анализа за потребности от социални услуги на общинско и областно ниво, които се финансират изцяло или частично от държавния бюджет.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25 общини от общо 83, социалните услуги за ранно детско развитие, финансирани по проекти, не бяха предвидени за създаване в Предложението за включването им в Националната карта на социалните услуги (Картата). Поискано е преразглеждане на общинските анализи, съответно и актуализиране на Предложенията, което е направено само от община Сливен. Съгласно чл. 47, ал.1, т.1 от Наредбата за планиране на социалните услуги, социалните услуги за ранно детско развитие в общините Аврен, Провадия, Благоевград, Петрич, Якоруда, Айтос, Камено, Средец, Габрово, Враца, Генерал Тошево, Крушари, Ардино, Кирково, Дупница, Лом, Монтана, Велинград, Кнежа, Карлово, Марица, Самуил, Смолян, Правец, Димитровград и Ямбол ще бъдат включени в Картата по служебен път.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Данните са обобщени на национално ниво, независимо от видимото разминаване в тях.</w:t>
      </w:r>
    </w:p>
    <w:p>
      <w:pPr>
        <w:keepNext w:val="true"/>
        <w:numPr>
          <w:ilvl w:val="0"/>
          <w:numId w:val="423"/>
        </w:numPr>
        <w:tabs>
          <w:tab w:val="left" w:pos="432" w:leader="none"/>
        </w:tabs>
        <w:spacing w:before="240" w:after="60" w:line="240"/>
        <w:ind w:right="0" w:left="432" w:hanging="432"/>
        <w:jc w:val="both"/>
        <w:rPr>
          <w:rFonts w:ascii="Times New Roman" w:hAnsi="Times New Roman" w:cs="Times New Roman" w:eastAsia="Times New Roman"/>
          <w:b/>
          <w:color w:val="003366"/>
          <w:spacing w:val="0"/>
          <w:position w:val="0"/>
          <w:sz w:val="36"/>
          <w:shd w:fill="auto" w:val="clear"/>
        </w:rPr>
      </w:pPr>
      <w:r>
        <w:rPr>
          <w:rFonts w:ascii="Times New Roman" w:hAnsi="Times New Roman" w:cs="Times New Roman" w:eastAsia="Times New Roman"/>
          <w:b/>
          <w:color w:val="003366"/>
          <w:spacing w:val="0"/>
          <w:position w:val="0"/>
          <w:sz w:val="36"/>
          <w:shd w:fill="auto" w:val="clear"/>
        </w:rPr>
        <w:t xml:space="preserve">СЕВЕРОЗАПАДЕН РЕГИОН </w:t>
      </w:r>
    </w:p>
    <w:p>
      <w:pPr>
        <w:keepNext w:val="true"/>
        <w:numPr>
          <w:ilvl w:val="0"/>
          <w:numId w:val="423"/>
        </w:numPr>
        <w:tabs>
          <w:tab w:val="left" w:pos="718" w:leader="none"/>
        </w:tabs>
        <w:spacing w:before="360" w:after="120" w:line="240"/>
        <w:ind w:right="0" w:left="718" w:hanging="576"/>
        <w:jc w:val="both"/>
        <w:rPr>
          <w:rFonts w:ascii="Times New Roman" w:hAnsi="Times New Roman" w:cs="Times New Roman" w:eastAsia="Times New Roman"/>
          <w:b/>
          <w:color w:val="003366"/>
          <w:spacing w:val="0"/>
          <w:position w:val="0"/>
          <w:sz w:val="28"/>
          <w:shd w:fill="auto" w:val="clear"/>
        </w:rPr>
      </w:pPr>
      <w:r>
        <w:rPr>
          <w:rFonts w:ascii="Times New Roman" w:hAnsi="Times New Roman" w:cs="Times New Roman" w:eastAsia="Times New Roman"/>
          <w:b/>
          <w:color w:val="003366"/>
          <w:spacing w:val="0"/>
          <w:position w:val="0"/>
          <w:sz w:val="28"/>
          <w:shd w:fill="auto" w:val="clear"/>
        </w:rPr>
        <w:t xml:space="preserve">ОБЛАСТ ВИДИН </w:t>
      </w:r>
    </w:p>
    <w:p>
      <w:pPr>
        <w:keepNext w:val="true"/>
        <w:numPr>
          <w:ilvl w:val="0"/>
          <w:numId w:val="423"/>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БЕЛОГРАДЧИК</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Белоградчик информацията за показателите по съответните критерии е получена от Национален статистически институт (НСИ), от Български червен кръст (БЧК) по проект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Център за домашни грижи”, кметове на населени места,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 (ДБТ), от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(ДСП), общински стратегически документи и други източници.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Белоградчик, към 31.12.2021 г. е 5194 жители, от тях 748 деца до 18-годишна възраст (14,4%). Общия брой на лицата с трайни увреждания е 543, от тях деца 20 (3,7%).</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Белоградчик са разкрити 6 социални услуги, от тях 5 се предоставят в гр. Белоградчик, и 1 в с. Дъбравка. Общият капацитет на социалните услуги е за 85 потребители, в т.ч. 23 асистентска подкрепа.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493"/>
        <w:gridCol w:w="844"/>
        <w:gridCol w:w="888"/>
        <w:gridCol w:w="1341"/>
        <w:gridCol w:w="1417"/>
        <w:gridCol w:w="1370"/>
        <w:gridCol w:w="707"/>
      </w:tblGrid>
      <w:tr>
        <w:trPr>
          <w:trHeight w:val="1" w:hRule="atLeast"/>
          <w:jc w:val="left"/>
        </w:trPr>
        <w:tc>
          <w:tcPr>
            <w:tcW w:w="249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84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ПЖД</w:t>
            </w:r>
          </w:p>
        </w:tc>
        <w:tc>
          <w:tcPr>
            <w:tcW w:w="88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ДЦСХ</w:t>
            </w:r>
          </w:p>
        </w:tc>
        <w:tc>
          <w:tcPr>
            <w:tcW w:w="134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141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137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ЦНСТПЛД</w:t>
            </w:r>
          </w:p>
        </w:tc>
        <w:tc>
          <w:tcPr>
            <w:tcW w:w="70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249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84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3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70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49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84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8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13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c>
          <w:tcPr>
            <w:tcW w:w="14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70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Белоградчик</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Белоградчик е 2 лица.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 </w:t>
      </w: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ЦНСТПЛД</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Белоградчик, различна от  общината по настоящ адрес</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Белоградчик, от други общини е 32.</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831"/>
        <w:gridCol w:w="5229"/>
      </w:tblGrid>
      <w:tr>
        <w:trPr>
          <w:trHeight w:val="1" w:hRule="atLeast"/>
          <w:jc w:val="left"/>
        </w:trPr>
        <w:tc>
          <w:tcPr>
            <w:tcW w:w="383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522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ПЖ</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ЦНСТПЛД</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Белоградчик за последните 5 години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Графиката показва, намаление на общия брой на населението на общината. Високите стойности на смъртността и относително невисоките стойности на раждаемост водят до отрицателен естествен прираст за територията на община Белоградчик. Показателите за механичния прираст на населението показват запазване на тенденцията за увеличаване на външните миграции, предизвикани от лошата икономическа обстановка и високия процент на безработица.</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Малък е броя на незаетите позиции в социалните услуги на територията на общината. Основно не заети са длъжностите за основни специалисти, осъществяващи дейности по предоставяне на СУ като психолози, логопеди, педагози, рехабилитатори и т.н. Проблем е и наемането на социални работници с висше образование, поради което в част от социалните услуги са наети сътрудници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социална работа, със средно образование. Недостатъчни са специалистите в общината в трудоспособна възраст за предоставяне на медицински грижи в социалните услуги.</w:t>
      </w:r>
    </w:p>
    <w:p>
      <w:pPr>
        <w:keepNext w:val="true"/>
        <w:numPr>
          <w:ilvl w:val="0"/>
          <w:numId w:val="457"/>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БОЙНИЦА</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Бойница информацията за населението по настоящ адрес е получена от НСИ и информационна система ГРАО. </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Бойница, към 31.12.2021 г. е 898 жители, от тях 49 деца до 18-годишна възраст (5,4%). Общия брой на лицата с трайни увреждания е 184, от тях деца 3 (1,6%).</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Бойница са разкрити 6 социални услуги, от тях 4 се предоставят в с. Бойница и 2 в с. Бориловец. Общият капацитет на социалните услуги е за 78 потребители, в т.ч. 8 асистентска подкрепа.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683"/>
        <w:gridCol w:w="2694"/>
        <w:gridCol w:w="1683"/>
      </w:tblGrid>
      <w:tr>
        <w:trPr>
          <w:trHeight w:val="1" w:hRule="atLeast"/>
          <w:jc w:val="left"/>
        </w:trPr>
        <w:tc>
          <w:tcPr>
            <w:tcW w:w="468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69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w:t>
            </w:r>
          </w:p>
        </w:tc>
        <w:tc>
          <w:tcPr>
            <w:tcW w:w="168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left"/>
        </w:trPr>
        <w:tc>
          <w:tcPr>
            <w:tcW w:w="468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69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c>
          <w:tcPr>
            <w:tcW w:w="168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68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69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70</w:t>
            </w:r>
          </w:p>
        </w:tc>
        <w:tc>
          <w:tcPr>
            <w:tcW w:w="168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bl>
    <w:p>
      <w:pPr>
        <w:tabs>
          <w:tab w:val="center" w:pos="4536" w:leader="none"/>
          <w:tab w:val="right" w:pos="9072"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Бойница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Бойница е 14 лица.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Бойница, различна от  общината по настоящ адрес</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Бойница, няма потребители от други общини ползващи социални услуги и интегрирани здравно-социални услуги.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Бойница за последните 5 години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резултат на установилите се през последните години неблагоприятни тенденции в развитието на демографските процеси, броят на населението продължава да намалява. </w:t>
      </w:r>
      <w:r>
        <w:rPr>
          <w:rFonts w:ascii="Times New Roman" w:hAnsi="Times New Roman" w:cs="Times New Roman" w:eastAsia="Times New Roman"/>
          <w:color w:val="000000"/>
          <w:spacing w:val="0"/>
          <w:position w:val="0"/>
          <w:sz w:val="24"/>
          <w:shd w:fill="auto" w:val="clear"/>
        </w:rPr>
        <w:t xml:space="preserve">Най-сериозните проблеми на общината са свързани с намаляващото и застаряващо население, ниската раждаемост и липсата на предприятия които да осигуряват заетост на безработните лица в работоспособна възраст.</w:t>
      </w: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Свободни са 2,5 места за социални работници, като по данни на административната статистика на АЗ няма </w:t>
      </w:r>
      <w:r>
        <w:rPr>
          <w:rFonts w:ascii="Times New Roman" w:hAnsi="Times New Roman" w:cs="Times New Roman" w:eastAsia="Times New Roman"/>
          <w:color w:val="000000"/>
          <w:spacing w:val="0"/>
          <w:position w:val="0"/>
          <w:sz w:val="24"/>
          <w:shd w:fill="auto" w:val="clear"/>
        </w:rPr>
        <w:t xml:space="preserve">регистрирани търсещи работа лица с медицинско образование и с висше образование в областта на Хуманитарните науки.</w:t>
      </w:r>
    </w:p>
    <w:p>
      <w:pPr>
        <w:keepNext w:val="true"/>
        <w:numPr>
          <w:ilvl w:val="0"/>
          <w:numId w:val="476"/>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БРЕГОВО</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за общината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Брегово информацията за населението по настоящ адрес е получена от информационна система ГРАО,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АХУ, както и от социалните услуги.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Брегово, към 31.12.2021 г. е 4516 жители, от тях 594 деца до 18-годишна възраст (13,2%). Общия брой на лицата с трайни увреждания е 732, от тях деца 20 (2,7%).</w:t>
      </w:r>
    </w:p>
    <w:p>
      <w:pPr>
        <w:spacing w:before="0" w:after="6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Брегово са разкрити 9 социални услуги, от тях 3 се предоставят в гр. Брегово, 3 в с. Балей и 3 с. Куделин. Общият капацитет на социалните услуги е за 128 потребители, в т.ч. 25 асистентска подкрепа.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948"/>
        <w:gridCol w:w="2269"/>
        <w:gridCol w:w="1426"/>
        <w:gridCol w:w="1417"/>
      </w:tblGrid>
      <w:tr>
        <w:trPr>
          <w:trHeight w:val="1" w:hRule="atLeast"/>
          <w:jc w:val="left"/>
        </w:trPr>
        <w:tc>
          <w:tcPr>
            <w:tcW w:w="394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26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w:t>
            </w:r>
          </w:p>
        </w:tc>
        <w:tc>
          <w:tcPr>
            <w:tcW w:w="142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w:t>
            </w:r>
          </w:p>
        </w:tc>
        <w:tc>
          <w:tcPr>
            <w:tcW w:w="141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left"/>
        </w:trPr>
        <w:tc>
          <w:tcPr>
            <w:tcW w:w="39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26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c>
          <w:tcPr>
            <w:tcW w:w="14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9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26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97</w:t>
            </w:r>
          </w:p>
        </w:tc>
        <w:tc>
          <w:tcPr>
            <w:tcW w:w="14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1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Брегово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Брегово е 39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ЦНСТПЛФУ</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Асистентска подкрепа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Брегово, различна от общината по настоящ адрес</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Брегово, от други общини е 46.</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831"/>
        <w:gridCol w:w="5229"/>
      </w:tblGrid>
      <w:tr>
        <w:trPr>
          <w:trHeight w:val="1" w:hRule="atLeast"/>
          <w:jc w:val="left"/>
        </w:trPr>
        <w:tc>
          <w:tcPr>
            <w:tcW w:w="383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522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ЦНСТПЛФУ</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bl>
    <w:p>
      <w:pPr>
        <w:spacing w:before="0" w:after="6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Брегово за последните 5 години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Наблюдава се неблагоприятна тенденция на намаление на населението. Раждаемостта в община Брегово е ниска, а равнището на смъртността е високо -</w:t>
      </w:r>
      <w:r>
        <w:rPr>
          <w:rFonts w:ascii="Times New Roman" w:hAnsi="Times New Roman" w:cs="Times New Roman" w:eastAsia="Times New Roman"/>
          <w:color w:val="000000"/>
          <w:spacing w:val="0"/>
          <w:position w:val="0"/>
          <w:sz w:val="24"/>
          <w:shd w:fill="auto" w:val="clear"/>
        </w:rPr>
        <w:t xml:space="preserve"> тези нива определят отрицателен естествен прираст на населените. В резултат на миграционните процеси в общината намалява населението и механичния прираст също е отрицателен. </w:t>
      </w:r>
      <w:r>
        <w:rPr>
          <w:rFonts w:ascii="Times New Roman" w:hAnsi="Times New Roman" w:cs="Times New Roman" w:eastAsia="Times New Roman"/>
          <w:color w:val="auto"/>
          <w:spacing w:val="0"/>
          <w:position w:val="0"/>
          <w:sz w:val="24"/>
          <w:shd w:fill="auto" w:val="clear"/>
        </w:rPr>
        <w:t xml:space="preserve">Основните демографски проблеми (застаряване на населението, миграцията и безработица) са и факторът определящ рисковите групи сред населението: възрастните самотно живеещите лица, деца на самотно живеещи родители и такива, на които родителите са в чужбина. Сред най-уязвими са самотно живеещите, които се увеличават, както и нуждите им от подкрепа в ежедневието.</w:t>
      </w:r>
    </w:p>
    <w:p>
      <w:pPr>
        <w:spacing w:before="0" w:after="60" w:line="240"/>
        <w:ind w:right="0" w:left="0" w:firstLine="709"/>
        <w:jc w:val="both"/>
        <w:rPr>
          <w:rFonts w:ascii="Times New Roman" w:hAnsi="Times New Roman" w:cs="Times New Roman" w:eastAsia="Times New Roman"/>
          <w:color w:val="000000"/>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социалните услуги, на територията на общината е нает необходимият персонал за осигуряване на грижа за потребителите на услугите. В общината има недостиг на лица с медицинско образование в трудоспособна възраст</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Свободно е 0,5 щат за медицинска сестра.</w:t>
      </w:r>
    </w:p>
    <w:p>
      <w:pPr>
        <w:keepNext w:val="true"/>
        <w:numPr>
          <w:ilvl w:val="0"/>
          <w:numId w:val="516"/>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ВИДИН</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Видин информацията за показателите е получена от: Национална база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Население“ на Главна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ГРАО“ към Министерство на регионалното развитие и благоустройството, Отдел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Статистически изследвания“ гр. Видин, от ДСП РИО на МОН, РЗОК, ДБТ, общинска администрация и отделите, отговорни за социални, образователни и хуманитарни дейности, Местна комисия за борба с противообществените прояви на малолетни и непълнолетни и др.</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Видин, към 31.12.2021 г. е 59 391 жители, от тях 8 909 деца до 18-годишна възраст (15,0%). Общия брой на лицата с трайни увреждания е 7639, от тях деца 429 (5,6%).</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Видин са разкрити 23 социални услуги, от тях 20 се предоставят в гр. Видин, 2 в с. Гомотарци и 1 в с. Кутово. Социалните услуги са с добра материална база. Общият капацитет на социалните услуги е за 555 потребители, в т.ч. 186 асистентска подкрепа и 20 в Дом за стари хора.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900"/>
        <w:gridCol w:w="1341"/>
        <w:gridCol w:w="1729"/>
        <w:gridCol w:w="1312"/>
        <w:gridCol w:w="1270"/>
        <w:gridCol w:w="1508"/>
      </w:tblGrid>
      <w:tr>
        <w:trPr>
          <w:trHeight w:val="1" w:hRule="atLeast"/>
          <w:jc w:val="left"/>
        </w:trPr>
        <w:tc>
          <w:tcPr>
            <w:tcW w:w="1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34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172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ДЦДМУСГ</w:t>
            </w:r>
          </w:p>
        </w:tc>
        <w:tc>
          <w:tcPr>
            <w:tcW w:w="131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127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ЦСРИД</w:t>
            </w:r>
          </w:p>
        </w:tc>
        <w:tc>
          <w:tcPr>
            <w:tcW w:w="150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ЦСРИПЛ</w:t>
            </w:r>
          </w:p>
        </w:tc>
      </w:tr>
      <w:tr>
        <w:trPr>
          <w:trHeight w:val="1" w:hRule="atLeast"/>
          <w:jc w:val="left"/>
        </w:trPr>
        <w:tc>
          <w:tcPr>
            <w:tcW w:w="1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3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72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3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3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35</w:t>
            </w:r>
          </w:p>
        </w:tc>
        <w:tc>
          <w:tcPr>
            <w:tcW w:w="172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3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2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15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50</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830"/>
        <w:gridCol w:w="1185"/>
        <w:gridCol w:w="69"/>
        <w:gridCol w:w="1254"/>
        <w:gridCol w:w="60"/>
        <w:gridCol w:w="1248"/>
        <w:gridCol w:w="135"/>
        <w:gridCol w:w="1093"/>
        <w:gridCol w:w="470"/>
        <w:gridCol w:w="623"/>
        <w:gridCol w:w="1093"/>
      </w:tblGrid>
      <w:tr>
        <w:trPr>
          <w:trHeight w:val="1" w:hRule="atLeast"/>
          <w:jc w:val="left"/>
        </w:trPr>
        <w:tc>
          <w:tcPr>
            <w:tcW w:w="183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254" w:type="dxa"/>
            <w:gridSpan w:val="2"/>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ЦВН</w:t>
            </w:r>
          </w:p>
        </w:tc>
        <w:tc>
          <w:tcPr>
            <w:tcW w:w="125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НЖ</w:t>
            </w:r>
          </w:p>
        </w:tc>
        <w:tc>
          <w:tcPr>
            <w:tcW w:w="1308" w:type="dxa"/>
            <w:gridSpan w:val="2"/>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1698" w:type="dxa"/>
            <w:gridSpan w:val="3"/>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ЦНСТПУИ</w:t>
            </w:r>
          </w:p>
        </w:tc>
        <w:tc>
          <w:tcPr>
            <w:tcW w:w="1716" w:type="dxa"/>
            <w:gridSpan w:val="2"/>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r>
      <w:tr>
        <w:trPr>
          <w:trHeight w:val="1" w:hRule="atLeast"/>
          <w:jc w:val="left"/>
        </w:trPr>
        <w:tc>
          <w:tcPr>
            <w:tcW w:w="18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254"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308"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c>
          <w:tcPr>
            <w:tcW w:w="169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16"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18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254"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12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1308"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34</w:t>
            </w:r>
          </w:p>
        </w:tc>
        <w:tc>
          <w:tcPr>
            <w:tcW w:w="169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c>
          <w:tcPr>
            <w:tcW w:w="1716"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28</w:t>
            </w:r>
          </w:p>
        </w:tc>
      </w:tr>
      <w:tr>
        <w:trPr>
          <w:trHeight w:val="1" w:hRule="atLeast"/>
          <w:jc w:val="left"/>
        </w:trPr>
        <w:tc>
          <w:tcPr>
            <w:tcW w:w="3015" w:type="dxa"/>
            <w:gridSpan w:val="2"/>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383" w:type="dxa"/>
            <w:gridSpan w:val="3"/>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КЦД</w:t>
            </w:r>
          </w:p>
        </w:tc>
        <w:tc>
          <w:tcPr>
            <w:tcW w:w="1383" w:type="dxa"/>
            <w:gridSpan w:val="2"/>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109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1093" w:type="dxa"/>
            <w:gridSpan w:val="2"/>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ЦРДУ</w:t>
            </w:r>
          </w:p>
        </w:tc>
        <w:tc>
          <w:tcPr>
            <w:tcW w:w="109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3015"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38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383"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0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093"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09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015"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38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1383"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0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85</w:t>
            </w:r>
          </w:p>
        </w:tc>
        <w:tc>
          <w:tcPr>
            <w:tcW w:w="1093"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09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186</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Видин</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Видин е 119, от тях жители на общината - 50 лица и от други общини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69 </w:t>
      </w:r>
      <w:r>
        <w:rPr>
          <w:rFonts w:ascii="Times New Roman" w:hAnsi="Times New Roman" w:cs="Times New Roman" w:eastAsia="Times New Roman"/>
          <w:color w:val="auto"/>
          <w:spacing w:val="0"/>
          <w:position w:val="0"/>
          <w:sz w:val="24"/>
          <w:shd w:fill="auto" w:val="clear"/>
        </w:rPr>
        <w:t xml:space="preserve">лица. </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 </w:t>
      </w:r>
    </w:p>
    <w:tbl>
      <w:tblPr/>
      <w:tblGrid>
        <w:gridCol w:w="4037"/>
        <w:gridCol w:w="5023"/>
      </w:tblGrid>
      <w:tr>
        <w:trPr>
          <w:trHeight w:val="1" w:hRule="atLeast"/>
          <w:jc w:val="left"/>
        </w:trPr>
        <w:tc>
          <w:tcPr>
            <w:tcW w:w="403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02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60</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Асистентска подкрепа</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45</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Видин, различна от общината по настоящ адрес</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Видин, от други общини е 47.</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8"/>
        <w:gridCol w:w="4512"/>
      </w:tblGrid>
      <w:tr>
        <w:trPr>
          <w:trHeight w:val="1" w:hRule="atLeast"/>
          <w:jc w:val="left"/>
        </w:trPr>
        <w:tc>
          <w:tcPr>
            <w:tcW w:w="454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ДЦДМУСГ</w:t>
            </w:r>
          </w:p>
        </w:tc>
        <w:tc>
          <w:tcPr>
            <w:tcW w:w="4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4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ЦСРИЛ</w:t>
            </w:r>
          </w:p>
        </w:tc>
        <w:tc>
          <w:tcPr>
            <w:tcW w:w="4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ЦСРИД</w:t>
            </w:r>
          </w:p>
        </w:tc>
        <w:tc>
          <w:tcPr>
            <w:tcW w:w="4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4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Видин за последните 5 години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Графиката показва, намаление на общия брой на населението с тенденция към застаряване, ниска раждаемост, висока смъртност и отрицателен естествен прираст. Устойчива е тенденцията към емиграция и обезлюдяване на общината. Висок е броят на хората с увреждания, както и на самотно живеещите стари хора от селата в общината, с невъзможност за самообслужване. Прогресивно намалява относителния дял на лицата в трудоспособна възраст. Икономически активните субекти са концентрирани в рамките на град Видин. В останалите населени места в общината няма икономически субекти, които да осигуряват заетост на местното население. Отрасловите сектори с реални пазарни позиции са представени от фирми на преработващата промишленост, търговия и ремонт, строителство, хотели и обществено хранене, транспорт и съобщения, селското стопанство, операции с имущество и бизнес услуги. Важен отрасъл за общината се явява и селското стопанство, предвид факта, че земеделските територии съставляват около 75% от цялата й територия. Земеделието е традиционна и значима дейност, свързана с отглеждането на зърнени култури и лозови масиви. Данните за селското стопанство в общината не дават основание за ясно формиране на общински профил в този сектор.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Сред приоритетите за развитието на Община Видин е и развитието на транспорта и туризма, както и наличието на богато културно-историческо наследство. Трудно развиващата се икономика и немалката безработица в общината довеждат до обедняване на населението и до запазване на трайната тенденция на обезлюдяване, ниски доходи на семейството, безработни родители, спад на жизненото равнище.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в община Видин са обезпечени с кадри необходими за предоставянето им. С малки изключения необходимостта от кадри по щатно разписание е задоволена. Като проблем се очертава липсата на медицински персонал в някоя от услугите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ДСХ и ЦНСТПЛУИ. Свободни са две работни места за медицинска сестра и възпитател. При извършената съпоставка на данните за брой на назначени служители и брой незаети длъжности към момента на извършването на анализа по утвърдените щатни разписания във всяка услуга на територията на община Видин, както и въз основа на определените минимални изисквания в стандартите за качество на социалните услуги, касаещи броя и квалификацията на необходимите служители, се установи, че във всички услуги са покрити нуждите от квалифициран персонал необходим за предоставяне на социалната услуга.</w:t>
      </w:r>
    </w:p>
    <w:p>
      <w:pPr>
        <w:keepNext w:val="true"/>
        <w:numPr>
          <w:ilvl w:val="0"/>
          <w:numId w:val="576"/>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ГРАМАДА</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Грамада информацията за населението по настоящ адрес е получена от НСИ, ДСП,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ГРАО“, </w:t>
      </w:r>
      <w:r>
        <w:rPr>
          <w:rFonts w:ascii="Times New Roman" w:hAnsi="Times New Roman" w:cs="Times New Roman" w:eastAsia="Times New Roman"/>
          <w:color w:val="000000"/>
          <w:spacing w:val="0"/>
          <w:position w:val="0"/>
          <w:sz w:val="24"/>
          <w:shd w:fill="auto" w:val="clear"/>
        </w:rPr>
        <w:t xml:space="preserve">РУ Кула, училище, детска градина представители на целевите общности и рисковите групи</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Грамада, към 31.12.2021 г. е 1695 жители, от тях 165 деца до 18-годишна възраст (9,7%). Общия брой на лицата с трайни увреждания е 170, от тях деца 25 (14,7%).</w:t>
      </w:r>
    </w:p>
    <w:p>
      <w:pPr>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Грамада е разкрита само социалната услуга Асистентска подкрепа с 10 потребители.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6665"/>
        <w:gridCol w:w="2395"/>
      </w:tblGrid>
      <w:tr>
        <w:trPr>
          <w:trHeight w:val="1" w:hRule="atLeast"/>
          <w:jc w:val="left"/>
        </w:trPr>
        <w:tc>
          <w:tcPr>
            <w:tcW w:w="666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39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666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3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666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3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Грамада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Грамада е 1 лице.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Асистентска подкрепа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Грамада,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Грамада няма лица от други населени места, желаещи да ползват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i/>
          <w:color w:val="auto"/>
          <w:spacing w:val="0"/>
          <w:position w:val="0"/>
          <w:sz w:val="24"/>
          <w:shd w:fill="auto" w:val="clear"/>
        </w:rPr>
        <w:t xml:space="preserve">за демографското развитие в община Грамада за последните 5 години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Като резултат от наблюдаваното цялостно негативно демографско развитие, ситуацията на общинско ниво не е изключение от проявяващите се неблагоприятни тенденции, характеризиращи демографското развитие на националната територия. Анализът акцентира върху състоянието на човешките ресурси, в контекста на тяхната роля и значимост на ключов елемент за развитието на дадена територия. Стойностите на показателите за динамика на населението, раждаемост, смъртност, естествен и механичен прираст разкриват, че територията на община Грамада не прави изключение от негативната тенденция на демографско развитие на национално ниво.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Единствената социална услуга е Асистентска подкрепа.</w:t>
      </w:r>
    </w:p>
    <w:p>
      <w:pPr>
        <w:keepNext w:val="true"/>
        <w:numPr>
          <w:ilvl w:val="0"/>
          <w:numId w:val="601"/>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ДИМОВО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Димово информацията за населението по настоящ адрес е получена от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ГРАО“ на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Административно обслужване и финанси“ на общината, отдел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Статистически данни“- Видин към ТСБ Северозапад, Агенцията за хората с увреждания, кметове и кметски наместници. От РЗИ-Видин, НЕЛК-София и НОИ Видин са получени уведомителни писма, че не могат да предоставят исканата от общината информация.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Димово, към 31.12.2021 г. е 6233 жители, от тях 1133 деца до 18-годишна възраст (18,2). Общия брой на лицата с трайни увреждания е 1260, от тях деца 89 (7,1%).</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Димово са разкрити 7 социални услуги, от тях 3 се предоставят в гр. Димово, 2 в с. Гара Орешец, 1 в с. Извор и 1 с. Воднянци. Общият капацитет на социалните услуги е за 192 потребители, в т.ч. 57 асистентска подкрепа и 30 за Дом за стари хора.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141"/>
        <w:gridCol w:w="915"/>
        <w:gridCol w:w="1276"/>
        <w:gridCol w:w="1622"/>
        <w:gridCol w:w="1622"/>
        <w:gridCol w:w="812"/>
        <w:gridCol w:w="672"/>
      </w:tblGrid>
      <w:tr>
        <w:trPr>
          <w:trHeight w:val="1" w:hRule="atLeast"/>
          <w:jc w:val="left"/>
        </w:trPr>
        <w:tc>
          <w:tcPr>
            <w:tcW w:w="214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91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ДЦСХ</w:t>
            </w:r>
          </w:p>
        </w:tc>
        <w:tc>
          <w:tcPr>
            <w:tcW w:w="127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ЦСРИПЛ</w:t>
            </w:r>
          </w:p>
        </w:tc>
        <w:tc>
          <w:tcPr>
            <w:tcW w:w="162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ЦНСТПФУ</w:t>
            </w:r>
          </w:p>
        </w:tc>
        <w:tc>
          <w:tcPr>
            <w:tcW w:w="162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81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67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21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9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6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6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6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1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9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c>
          <w:tcPr>
            <w:tcW w:w="1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c>
          <w:tcPr>
            <w:tcW w:w="16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16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8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6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57</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 социални услуги на територията на община Димово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Димово е 243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210</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ЦНСТПЛФУ</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Асистентска подкрепа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33</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Димово,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Димово, от други общини е 23.</w:t>
      </w:r>
    </w:p>
    <w:p>
      <w:pPr>
        <w:spacing w:before="0" w:after="0" w:line="240"/>
        <w:ind w:right="0" w:left="0" w:firstLine="709"/>
        <w:jc w:val="both"/>
        <w:rPr>
          <w:rFonts w:ascii="Times New Roman" w:hAnsi="Times New Roman" w:cs="Times New Roman" w:eastAsia="Times New Roman"/>
          <w:color w:val="auto"/>
          <w:spacing w:val="0"/>
          <w:position w:val="0"/>
          <w:sz w:val="24"/>
          <w:shd w:fill="FFFF00"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FFFF00" w:val="clear"/>
        </w:rPr>
      </w:pPr>
    </w:p>
    <w:tbl>
      <w:tblPr/>
      <w:tblGrid>
        <w:gridCol w:w="4548"/>
        <w:gridCol w:w="4512"/>
      </w:tblGrid>
      <w:tr>
        <w:trPr>
          <w:trHeight w:val="1" w:hRule="atLeast"/>
          <w:jc w:val="left"/>
        </w:trPr>
        <w:tc>
          <w:tcPr>
            <w:tcW w:w="454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4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ЦНСТПЛФУ</w:t>
            </w:r>
          </w:p>
        </w:tc>
        <w:tc>
          <w:tcPr>
            <w:tcW w:w="4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4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Димово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Данните показват, че процесът на намаляване броя на населението е устойчив. Във всички населени места населението бележи спад. Процесът на обезлюдяване, характерен и за страната като цяло, засяга община Димово със същите темпове, които са характерни за преобладаващата част от селските общини в страната.</w:t>
      </w:r>
    </w:p>
    <w:p>
      <w:pPr>
        <w:spacing w:before="0" w:after="6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съпоставка на данните за брой на назначени служители и брой незаети длъжности към момента на извършването на анализа по утвърдените щатни разписания във всяка услуга, както и въз основа на определените минимални изисквания в стандартите за качество на социалните услуги, касаещи броя и квалификацията на необходимите служители се вижда, че има незаети длъжности. Като длъжности незаетите места са за директор, медицински специалист, медицински сестра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3, </w:t>
      </w:r>
      <w:r>
        <w:rPr>
          <w:rFonts w:ascii="Times New Roman" w:hAnsi="Times New Roman" w:cs="Times New Roman" w:eastAsia="Times New Roman"/>
          <w:color w:val="auto"/>
          <w:spacing w:val="0"/>
          <w:position w:val="0"/>
          <w:sz w:val="24"/>
          <w:shd w:fill="auto" w:val="clear"/>
        </w:rPr>
        <w:t xml:space="preserve">рехабилитатор, хигиенист, огняр.</w:t>
      </w:r>
    </w:p>
    <w:p>
      <w:pPr>
        <w:keepNext w:val="true"/>
        <w:numPr>
          <w:ilvl w:val="0"/>
          <w:numId w:val="645"/>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КУЛА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са използвани официални източници на информация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данни на Националния статистически институт, инструментите на ГРАО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Национална база данни, Локална база данни. Данни от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Кула,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Кула, учебни заведения.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Кула, към 31.12.2021 г. е 3850 жители, от тях 437 деца до 18-годишна възраст (11,4%). Общия брой на лицата с трайни увреждания е 466, от тях деца 32 (7,1%).</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Кула са разкрити 7 социални услуги, и всички се предоставят в гр. Кула. Общият капацитет на социалните услуги е за 142 потребители, в т.ч. 19 асистентска подкрепа и 50 за Дом за стари хора.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713"/>
        <w:gridCol w:w="1555"/>
        <w:gridCol w:w="1576"/>
        <w:gridCol w:w="991"/>
        <w:gridCol w:w="1243"/>
        <w:gridCol w:w="982"/>
      </w:tblGrid>
      <w:tr>
        <w:trPr>
          <w:trHeight w:val="1" w:hRule="atLeast"/>
          <w:jc w:val="left"/>
        </w:trPr>
        <w:tc>
          <w:tcPr>
            <w:tcW w:w="271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55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w:t>
            </w:r>
          </w:p>
        </w:tc>
        <w:tc>
          <w:tcPr>
            <w:tcW w:w="157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w:t>
            </w:r>
          </w:p>
        </w:tc>
        <w:tc>
          <w:tcPr>
            <w:tcW w:w="99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w:t>
            </w:r>
          </w:p>
        </w:tc>
        <w:tc>
          <w:tcPr>
            <w:tcW w:w="124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98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271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55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12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71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55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32</w:t>
            </w:r>
          </w:p>
        </w:tc>
        <w:tc>
          <w:tcPr>
            <w:tcW w:w="15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9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21</w:t>
            </w:r>
          </w:p>
        </w:tc>
        <w:tc>
          <w:tcPr>
            <w:tcW w:w="12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50</w:t>
            </w:r>
          </w:p>
        </w:tc>
        <w:tc>
          <w:tcPr>
            <w:tcW w:w="9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Кула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Кула е 17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Асистентска подкрепа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Кула,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Кула, от други общини е 25, всички са потребители на Дом за стари хора гр. Кула.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8"/>
        <w:gridCol w:w="4512"/>
      </w:tblGrid>
      <w:tr>
        <w:trPr>
          <w:trHeight w:val="1" w:hRule="atLeast"/>
          <w:jc w:val="left"/>
        </w:trPr>
        <w:tc>
          <w:tcPr>
            <w:tcW w:w="454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4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Кула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Основните причини за намаляване на населението включват относително голям брой лица на възраст над 65 г., по-малката част от населението от женски пол, достигащо фертилна възраст, но и леко подобряване на миграционните потоци.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Съществуващите към настоящия момент социални услуги са обезпечени с необходимия брой специалисти и обслужващ персонал и незаети са длъжностите директор, и на четиричасов работен ден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психолог, мед. сестра и шофьор. Медицински кадри /мед. сестри/ в трудоспособна възраст и специалисти не са налични в община Кула. В бюджета на Община Кула е предвиден фонд за осигуряване на стипендии на студенти, които след завършването си биха работили в община Кула. Осигуряването на финансова помощ е условие за осигуряване на някои от нужните за развитието на социалните услуги в община Кула кадри.</w:t>
      </w:r>
    </w:p>
    <w:p>
      <w:pPr>
        <w:keepNext w:val="true"/>
        <w:numPr>
          <w:ilvl w:val="0"/>
          <w:numId w:val="684"/>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МАКРЕШ</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При изготвянето на анализа са използвани официални източници на информация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данни на Националния статистически институт, инструментите на ГРАО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Национална база данни, </w:t>
      </w:r>
      <w:r>
        <w:rPr>
          <w:rFonts w:ascii="Times New Roman" w:hAnsi="Times New Roman" w:cs="Times New Roman" w:eastAsia="Times New Roman"/>
          <w:color w:val="000000"/>
          <w:spacing w:val="0"/>
          <w:position w:val="0"/>
          <w:sz w:val="24"/>
          <w:shd w:fill="FFFFFF" w:val="clear"/>
        </w:rPr>
        <w:t xml:space="preserve">ДСП Димово, РЗИ Видин, РЗОК Видин, ДБТ Кула.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Макреш, към 31.12.2021 г. е 1176 жители, от тях 81 деца до 18-годишна възраст (6,9%). Общия брой на лицата с трайни увреждания е 210, от тях деца 8 (3,8%).</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Макреш се предоставя само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6648"/>
        <w:gridCol w:w="2412"/>
      </w:tblGrid>
      <w:tr>
        <w:trPr>
          <w:trHeight w:val="1" w:hRule="atLeast"/>
          <w:jc w:val="left"/>
        </w:trPr>
        <w:tc>
          <w:tcPr>
            <w:tcW w:w="664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41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66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4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66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4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r>
    </w:tbl>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Макреш</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желаещи да ползват социални услуги на територията на община Макреш.</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Макреш,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Всички потребители на Асистентска подкрепа са от община Макреш.</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Макреш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Общата тенденция е на застаряване на населението на община Макреш. Всички населени места са с компактна структура, но развитието на селищната мрежа в общината е довело до съсредоточаване на основните административни и културни дейности в с. Макреш. Тенденциите в демографските показатели, следват общите тенденции в демографското развитие на цялата страна - намалена раждаемост, увеличена смъртност, засилена урбанизация и интензивна емиграция поради голямата безработица.</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Единствената социална услуга е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697"/>
        </w:numPr>
        <w:tabs>
          <w:tab w:val="left" w:pos="718" w:leader="none"/>
        </w:tabs>
        <w:spacing w:before="0" w:after="0" w:line="240"/>
        <w:ind w:right="0" w:left="0" w:firstLine="0"/>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НОВО СЕЛО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са използвани официални източници на информация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ГРАО, Национална база данни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Население“, локална база данни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Население“, РУО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Видин, РДСП, РЗИ, НСИ, ДСП, ДБТ.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Ново село, към 31.12.2021 г. е 2593 жители, от тях 319 деца до 18-годишна възраст (12,3%). Общия брой на лицата с трайни увреждания е 366, от тях деца 9 (2,5%).</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Ново село са разкрити 7 социални услуги, и всички се предоставят в гр. Ново село. Общият капацитет на социалните услуги е за 85 потребители, в т.ч. 14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94"/>
        <w:gridCol w:w="1857"/>
        <w:gridCol w:w="1287"/>
        <w:gridCol w:w="1564"/>
        <w:gridCol w:w="1158"/>
      </w:tblGrid>
      <w:tr>
        <w:trPr>
          <w:trHeight w:val="1" w:hRule="atLeast"/>
          <w:jc w:val="left"/>
        </w:trPr>
        <w:tc>
          <w:tcPr>
            <w:tcW w:w="319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85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w:t>
            </w:r>
          </w:p>
        </w:tc>
        <w:tc>
          <w:tcPr>
            <w:tcW w:w="128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ПЖ</w:t>
            </w:r>
          </w:p>
        </w:tc>
        <w:tc>
          <w:tcPr>
            <w:tcW w:w="156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115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319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8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12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19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8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48</w:t>
            </w:r>
          </w:p>
        </w:tc>
        <w:tc>
          <w:tcPr>
            <w:tcW w:w="12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5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11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Ново село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Ново село е 18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ЦНСТПЛД</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Ново село,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Ново село, от други общини е 36.</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8"/>
        <w:gridCol w:w="4512"/>
      </w:tblGrid>
      <w:tr>
        <w:trPr>
          <w:trHeight w:val="1" w:hRule="atLeast"/>
          <w:jc w:val="left"/>
        </w:trPr>
        <w:tc>
          <w:tcPr>
            <w:tcW w:w="454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4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29</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ПЖ</w:t>
            </w:r>
          </w:p>
        </w:tc>
        <w:tc>
          <w:tcPr>
            <w:tcW w:w="4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Ново село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Наблюдава се изключително сериозна тенденция на намаление на населението, като процеса на обезлюдяване засяга всички населени места в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Механичното движение на населението е неравномерно, като почти не се наблюдават различия в тренда на заселване и изселване в населените места на общината. Населението в Северозападна България и в общината е сред най-застарелите в Европа и тенденцията е да продължава да остарява в бъдеще.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предоставените данни за наличните социални услуги на територията на община Ново село е видно, че те са обезпечени с необходимите категории служители, необходими за предоставяне на съответните услуги. В услугите няма незаети бройки. За привеждането им в съответствие съгласно ЗСУ ще се използва гъвкав подход за използване на наличните специалисти в социалните услуги. Поради липса на кадри с медицинско образование и кадри с квалификация в сферата на социалното дело в бъдеще ще се появи недостиг на подобни специалисти.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724"/>
        </w:numPr>
        <w:tabs>
          <w:tab w:val="left" w:pos="718" w:leader="none"/>
        </w:tabs>
        <w:spacing w:before="0" w:after="0" w:line="240"/>
        <w:ind w:right="0" w:left="0" w:firstLine="0"/>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 </w:t>
      </w:r>
      <w:r>
        <w:rPr>
          <w:rFonts w:ascii="Times New Roman" w:hAnsi="Times New Roman" w:cs="Times New Roman" w:eastAsia="Times New Roman"/>
          <w:b/>
          <w:color w:val="003366"/>
          <w:spacing w:val="0"/>
          <w:position w:val="0"/>
          <w:sz w:val="24"/>
          <w:shd w:fill="auto" w:val="clear"/>
        </w:rPr>
        <w:t xml:space="preserve">ОБЩИНА РУЖИНЦИ</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са използвани официални източници на информация-</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Националният статистически институт; органи, които по силата на закон имат право да събират и администрират съответните данни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ДСП, РЗИ, ДБТ; налични данни в Общинска администрация Ружинци.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Ружинци, към 31.12.2021 г. е 3335 жители, от тях 600 деца до 18-годишна възраст (18,0%). Общия брой на лицата с трайни увреждания е 481, от тях деца 42 (8,7%).</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Ружинци са разкрити 2 социални услуги, като Дома за стари хора е ситуиран в с. Дреновец, общ. Ружинци. Общият капацитет на социалните услуги е за 43 потребители, в т.ч. 20 асистентска подкрепа.</w:t>
      </w:r>
    </w:p>
    <w:tbl>
      <w:tblPr/>
      <w:tblGrid>
        <w:gridCol w:w="4660"/>
        <w:gridCol w:w="2709"/>
        <w:gridCol w:w="1691"/>
      </w:tblGrid>
      <w:tr>
        <w:trPr>
          <w:trHeight w:val="1" w:hRule="atLeast"/>
          <w:jc w:val="left"/>
        </w:trPr>
        <w:tc>
          <w:tcPr>
            <w:tcW w:w="46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70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169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46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70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16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6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70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w:t>
            </w:r>
          </w:p>
        </w:tc>
        <w:tc>
          <w:tcPr>
            <w:tcW w:w="16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Ружинци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Ружинци е 5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Асистентска подкрепа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Ружинци,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Ружинци, от други общини е 12.</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8"/>
        <w:gridCol w:w="4512"/>
      </w:tblGrid>
      <w:tr>
        <w:trPr>
          <w:trHeight w:val="1" w:hRule="atLeast"/>
          <w:jc w:val="left"/>
        </w:trPr>
        <w:tc>
          <w:tcPr>
            <w:tcW w:w="454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4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Информация за демографското развитие в община Ружинци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Населението на община Ружинци в трудоспособна възраст е по-ниско, а в над трудоспособна възраст е по-високо. В резултат на отрицателния естествен прираст и отрицателния механичен прираст населението на община Ружинци трайно намалява.</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предоставените данни за наличните социални услуги на територията на община Ружинци е видно, че те са обезпечени с необходимите категории служители, необходими за предоставяне на съответните услуги. В услугите няма незаети длъжности.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751"/>
        </w:numPr>
        <w:tabs>
          <w:tab w:val="left" w:pos="718" w:leader="none"/>
        </w:tabs>
        <w:spacing w:before="0" w:after="0" w:line="240"/>
        <w:ind w:right="0" w:left="0" w:firstLine="0"/>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 </w:t>
      </w:r>
      <w:r>
        <w:rPr>
          <w:rFonts w:ascii="Times New Roman" w:hAnsi="Times New Roman" w:cs="Times New Roman" w:eastAsia="Times New Roman"/>
          <w:b/>
          <w:color w:val="003366"/>
          <w:spacing w:val="0"/>
          <w:position w:val="0"/>
          <w:sz w:val="24"/>
          <w:shd w:fill="auto" w:val="clear"/>
        </w:rPr>
        <w:t xml:space="preserve">ОБЩИНА ЧУПРЕНЕ</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са използвани официални източници на информация- Националният статистически институт; органи, които по силата на закон имат право да събират и администрират съответните данни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ДСП, РЗИ, ДБТ; налични данни Общинска администрация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ГРАО и отделите, отговорни за социални, образователни и хуманитарни дейности, данни от доставчиците на социални услуги, училища, лични лекари и други.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Чупрене, към 31.12.2021 г. е 1801 жители, от тях 258 деца до 18-годишна възраст (14,3%). Общия брой на лицата с трайни увреждания е 246, от тях деца 14 (5,7%).</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Чупрене са разкрити 5 социални услуги, като 2 социални услуги са в с. Чупрене и по 1 в с. Долни лом, с. Върбово, с. Репляна. Общият капацитет на социалните услуги е за 58 потребители, в т.ч. 11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925"/>
        <w:gridCol w:w="2281"/>
        <w:gridCol w:w="1433"/>
        <w:gridCol w:w="1421"/>
      </w:tblGrid>
      <w:tr>
        <w:trPr>
          <w:trHeight w:val="1" w:hRule="atLeast"/>
          <w:jc w:val="left"/>
        </w:trPr>
        <w:tc>
          <w:tcPr>
            <w:tcW w:w="392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28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w:t>
            </w:r>
          </w:p>
        </w:tc>
        <w:tc>
          <w:tcPr>
            <w:tcW w:w="143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w:t>
            </w:r>
          </w:p>
        </w:tc>
        <w:tc>
          <w:tcPr>
            <w:tcW w:w="142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39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28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14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9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28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39</w:t>
            </w:r>
          </w:p>
        </w:tc>
        <w:tc>
          <w:tcPr>
            <w:tcW w:w="14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4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Чупрене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Чупрене е 15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ЗЖЛПР</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Чупрене,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Чупрене, от други общини е 44.</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8"/>
        <w:gridCol w:w="4512"/>
      </w:tblGrid>
      <w:tr>
        <w:trPr>
          <w:trHeight w:val="1" w:hRule="atLeast"/>
          <w:jc w:val="left"/>
        </w:trPr>
        <w:tc>
          <w:tcPr>
            <w:tcW w:w="454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4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4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ЗЖЛПР</w:t>
            </w:r>
          </w:p>
        </w:tc>
        <w:tc>
          <w:tcPr>
            <w:tcW w:w="4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Чупрене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Възрастовата структура на населението в общината показва постоянна тенденция към застаряване. Демографската картина за община Чупрене, както и за цялата страна, е неблагоприятна, населението застарява в резултат на естествените процеси на раждаемост и смъртност, така и в резултат на засилените емиграционни процеси.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предоставените данни за наличните социални услуги на територията на община Чупрене е видно, че в две от услугите има незаети длъжности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 половин щат медицинска сестра. От предоставената информация е видно, че част от служителите са пенсионери, както и че има лица без необходимото образование за заемане на длъжността. Общината отчита сериозен проблем с кадровото обезпечаване на дейностите в социалните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784"/>
        </w:numPr>
        <w:tabs>
          <w:tab w:val="left" w:pos="718" w:leader="none"/>
        </w:tabs>
        <w:spacing w:before="0" w:after="0" w:line="240"/>
        <w:ind w:right="0" w:left="718"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АНАЛИЗ НА ПОТРЕБНОСТИТЕ В ОБЛАСТ ВИДИН (обобщено)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обобщени за област Видин по общини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общините от област Видин информацията за населението критериите съгласно Наредбата за планиране на социалните услуги е получена от отдел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Статистически данни“- Видин към ТСБ Северозапад, информационна система ГРАО на общините, Агенция за хората с увреждания, РЗИ, от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от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 кметове и кметски наместници, от Български червен кръст по проект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Център за домашни грижи”, училища, лечебни заведения, социални услуги и др.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област Видин, към 31.12.2021 г. е 90 682 жители, от тях 13 293 деца до 18-годишна възраст (14,7%). Общия брой на лицата с трайни увреждания е 12 297, от тях деца 691 (5,6%).</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Чупрене, към 31.12.2021 г. е 1801 жители, от тях 258 деца до 18-годишна възраст (14,3%), броят на пълнолетните лица е 972 (54,0%). Общия брой на лицата с трайни увреждания е 246, от тях деца 14 (5,7%).</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Чупрене, към 31.12.2021 г. е 1801 жители, от тях 258 деца до 18-годишна възраст (14,3%), броят на пълнолетните лица е 972 (54,0%). Общия брой на лицата с трайни увреждания е 246, от тях деца 14 (5,7%).</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областта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брои на социалните услуги на територията на област Видин е 75 с 1415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Броят на социалните услуги за пълнолетни лица е 55, с 1084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за деца са 20 със 331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графиките е видно, че на територията на областта преобладават услугите за резидентна грижа (ЦНСТ, ЗЖ, ПЖ, НЖ, КЦ, ЦВН) 43 услуги за 484 потребители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услугите в домашна среда (АП)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11 </w:t>
      </w:r>
      <w:r>
        <w:rPr>
          <w:rFonts w:ascii="Times New Roman" w:hAnsi="Times New Roman" w:cs="Times New Roman" w:eastAsia="Times New Roman"/>
          <w:color w:val="auto"/>
          <w:spacing w:val="0"/>
          <w:position w:val="0"/>
          <w:sz w:val="24"/>
          <w:shd w:fill="auto" w:val="clear"/>
        </w:rPr>
        <w:t xml:space="preserve">услуги за 382 потребители, услугите в специализирани институции за пълнолетни лица (ДСХ) 5 услуги за 153 потребители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консултативни услуги (ДЦ, ЦСРИ, ЦОП, ЦРДУ)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16 </w:t>
      </w:r>
      <w:r>
        <w:rPr>
          <w:rFonts w:ascii="Times New Roman" w:hAnsi="Times New Roman" w:cs="Times New Roman" w:eastAsia="Times New Roman"/>
          <w:color w:val="auto"/>
          <w:spacing w:val="0"/>
          <w:position w:val="0"/>
          <w:sz w:val="24"/>
          <w:shd w:fill="auto" w:val="clear"/>
        </w:rPr>
        <w:t xml:space="preserve">услуги за 396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следващата графика е представено сравнение между функциониращите към момента социални услуги, финансирани от държавния бюджет, съотнесени към социалните услуги по чл. 15 от ЗСУ, максималния брой потребители, съгласно критериите по Наредбата за планиране на социалните услуги и поетите ангажименти от общините в областта.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област Видин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037"/>
        <w:gridCol w:w="5023"/>
      </w:tblGrid>
      <w:tr>
        <w:trPr>
          <w:trHeight w:val="1" w:hRule="atLeast"/>
          <w:jc w:val="left"/>
        </w:trPr>
        <w:tc>
          <w:tcPr>
            <w:tcW w:w="403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02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Асистентска подкрепа</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118</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ЦНСТПЛД</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241</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ЦНСТПЛФУ</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71</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ЗЖЛПР</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Общо</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477</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Общо 477 лица са включени в списъците на чакащите за ползване на социални услуги в териториалния обхват на област Видин. Голям е и броят на лицата за включване в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област Видин, различна от  общината по настоящ адрес</w:t>
      </w: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и интегрирани здравно-социални услуги на територията на област Видин, различна от общината по настоящ адрес е 265. Най-голям е техният брой в социалните услуги на територията на общините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Видин, Брегово, Чупрене, Ново село, Белоградчик, следвани от общините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Кула, Димово, Ружинци.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8"/>
        <w:gridCol w:w="4512"/>
      </w:tblGrid>
      <w:tr>
        <w:trPr>
          <w:trHeight w:val="1" w:hRule="atLeast"/>
          <w:jc w:val="left"/>
        </w:trPr>
        <w:tc>
          <w:tcPr>
            <w:tcW w:w="454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4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46</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4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ДЦДМУСГ</w:t>
            </w:r>
          </w:p>
        </w:tc>
        <w:tc>
          <w:tcPr>
            <w:tcW w:w="4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ЗЖЛПР</w:t>
            </w:r>
          </w:p>
        </w:tc>
        <w:tc>
          <w:tcPr>
            <w:tcW w:w="4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ПЖ</w:t>
            </w:r>
          </w:p>
        </w:tc>
        <w:tc>
          <w:tcPr>
            <w:tcW w:w="4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4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39</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4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ЦНСТПЛД</w:t>
            </w:r>
          </w:p>
        </w:tc>
        <w:tc>
          <w:tcPr>
            <w:tcW w:w="4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4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47</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4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36</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ЦНСТПЛФУ</w:t>
            </w:r>
          </w:p>
        </w:tc>
        <w:tc>
          <w:tcPr>
            <w:tcW w:w="4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4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ЦСРИД</w:t>
            </w:r>
          </w:p>
        </w:tc>
        <w:tc>
          <w:tcPr>
            <w:tcW w:w="4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ЦСРИЛ</w:t>
            </w:r>
          </w:p>
        </w:tc>
        <w:tc>
          <w:tcPr>
            <w:tcW w:w="4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общините Грамада и Макреш се предоставя единствено Асистентска подкрепа и потребителите са от съответната община.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Впечатление прави, че потребителите на услугите в по-голямата част са от общините на територията на областта.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област Видин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Анализът на данните на демографското развитие в област Видин за периода 2021 г.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2017 </w:t>
      </w:r>
      <w:r>
        <w:rPr>
          <w:rFonts w:ascii="Times New Roman" w:hAnsi="Times New Roman" w:cs="Times New Roman" w:eastAsia="Times New Roman"/>
          <w:color w:val="auto"/>
          <w:spacing w:val="0"/>
          <w:position w:val="0"/>
          <w:sz w:val="24"/>
          <w:shd w:fill="auto" w:val="clear"/>
        </w:rPr>
        <w:t xml:space="preserve">г. показва тенденция към намаление на броя на населението във всички общини.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Във всички общини се отчита ниска раждаемост с тенденция към намаление, висока смъртност и отрицателен естествен прираст. Прогресивно намаляване на относителния дял на лицата в трудоспособна възраст. Устойчива тенденция към емиграция и обезлюдяване. Висок е броя на хората с увреждания, както и на самотно живеещите стари хора от  селата в общината, с невъзможност за самообслужване.</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Всички тези фактори, показват че на територията на общината населението застарява и има необходимост от социални услуги за резидентна грижа и услуги в домашна среда. Към настоящия момент всички общини имат ползватели на механизма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Лична помощ“ по реда на Закона за личната помощ, участват и в процедура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Топъл обяд“ на Програма за храни и основно материално подпомагане 2021 г. -2027 г., в процедура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Патронажна грижа +“ и др. с оглед осигуряване на възможност за грижа и подкрепа на по-голяма част от населението в областта. Предизвикателство пред общините е и миграцията на населението в трудоспособна възраст към скандинавските и други европейски страни, което създава сериозни рискове за децата от тези семейства по отношение на пълноценната родителска грижа, образованието и развитието им. </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По-голяма част от социалните услуги в областта са обезпечени със служители, необходими за предоставянето им. Общините са използвали различни възможности за наемане на необходимите служители за извършване на дейностите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специалисти се търсят както в Дирекции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Бюра по труда“, така и на свободния пазар, като на работа се наемат и пенсионери. На база на предоставената от общините информация за заетостта на служителите в социалните услуги, се очертава тенденция за недостиг основно на медицински специалисти.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Една от предпоставките за ефективност на социалните услуги е наличието на квалифициран и мотивиран персонал. Развитието и обучението на човешките ресурси в тази област е важна предпоставка за качествени услуги, които да съдействат за повишаване и качеството на живот на отделните индивиди, семейства и групи.</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контекста на изложеното, следва да се отчете подхода на община Кула за осигуряване на някои от нужните за развитието на социалните услуги в общината кадри - в бюджета на общината е предвиден фонд за осигуряване на стипендии на студенти, които след завършването си биха работили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Видин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са ключов фактор за ефективно социално включване и участие в живота на обществото на всички групи лица, които имат необходимост от подкрепа. Във основа на направения анализ на състоянието на социалните услуги на територията на областта и очерталите се тенденции, могат да се направят следните изводи: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има голям брой социални услуги за резидентна грижа за пълнолетни лица, но броят им е недостатъчен за задоволяване на потребностите на жителите на областта;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Недостатъчен е броят на услугите за дневна и почасова грижа и подкрепа за пълнолетни лица и е планирано създаване на нови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Не се възприема ролята на социалните услуги като дейности, насочени към социално включване и стимулиране за водене на независим начин на живот;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 територията на областта няма интегрирани здравно-социални услуги за деца и пълнолетни лица, общините в областта са договорили и планирали разкриването на социални услуга за задоволяване на потребностите на населението от ИЗСУ и социални услуги за осигуряване на подслон;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Осигуряването на равен достъп до услуги на всички нуждаещи се чрез планиране на социални услуги, съгласно реалните потребности и нужди и равномерно разпределение на социалните услуги на територията на област Видин са съществена част от политиките на областната и общинските администрации и всички общини в областта са поели конкретни ангажименти с оглед запазване на съществуващите към момента социални услуги, увеличаване на броя на потребителите или планирано създаване на нови социални услуги.</w:t>
      </w:r>
    </w:p>
    <w:p>
      <w:pPr>
        <w:keepNext w:val="true"/>
        <w:numPr>
          <w:ilvl w:val="0"/>
          <w:numId w:val="843"/>
        </w:numPr>
        <w:tabs>
          <w:tab w:val="left" w:pos="718" w:leader="none"/>
        </w:tabs>
        <w:spacing w:before="360" w:after="120" w:line="240"/>
        <w:ind w:right="0" w:left="718" w:hanging="576"/>
        <w:jc w:val="both"/>
        <w:rPr>
          <w:rFonts w:ascii="Times New Roman" w:hAnsi="Times New Roman" w:cs="Times New Roman" w:eastAsia="Times New Roman"/>
          <w:b/>
          <w:color w:val="003366"/>
          <w:spacing w:val="0"/>
          <w:position w:val="0"/>
          <w:sz w:val="28"/>
          <w:shd w:fill="auto" w:val="clear"/>
        </w:rPr>
      </w:pPr>
      <w:r>
        <w:rPr>
          <w:rFonts w:ascii="Times New Roman" w:hAnsi="Times New Roman" w:cs="Times New Roman" w:eastAsia="Times New Roman"/>
          <w:b/>
          <w:color w:val="003366"/>
          <w:spacing w:val="0"/>
          <w:position w:val="0"/>
          <w:sz w:val="28"/>
          <w:shd w:fill="auto" w:val="clear"/>
        </w:rPr>
        <w:t xml:space="preserve">ОБЛАСТ ВРАЦА</w:t>
      </w:r>
    </w:p>
    <w:p>
      <w:pPr>
        <w:keepNext w:val="true"/>
        <w:numPr>
          <w:ilvl w:val="0"/>
          <w:numId w:val="843"/>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БОРОВАН</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Борован информацията за населението по настоящ адрес е получена от Националният статистически институт,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 (ДБТ) гр. Бяла Слатина, Местна комисия за борба срещу противообществените прояви на малолетни и непълнолетни,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ГРАО“ локална база данни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Население“ в Община Борован.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Борован, към 31.12.2021 г. е 4930 жители, от тях 1050 деца до 18-годишна възраст (21,3%). Общия брой на лицата с трайни увреждания е 543, от тях деца 20 (3,7%).</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Борован са разкрити 3 социални услуги, който се предоставят в с. Борован. Общият капацитет на социалните услуги е за 45 потребители, в т.ч. 21 асистентска подкрепа.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477"/>
        <w:gridCol w:w="3117"/>
        <w:gridCol w:w="2466"/>
      </w:tblGrid>
      <w:tr>
        <w:trPr>
          <w:trHeight w:val="1" w:hRule="atLeast"/>
          <w:jc w:val="left"/>
        </w:trPr>
        <w:tc>
          <w:tcPr>
            <w:tcW w:w="347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311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246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347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31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246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47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31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c>
          <w:tcPr>
            <w:tcW w:w="246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21</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Борован</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Борован е 7 лица.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Борован, различна от общината по настоящ адрес</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Борован, от други общини е 15. </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451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Информация за демографското развитие в община Борован за последните 5 години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Графиката показва, намаление на общия брой на населението на общината. Високите стойности на смъртността и ниската раждаемост водят до отрицателен естествен прираст за територията на община Борован. За влошаването на възрастовата структура от съществено значение имат мащабните емиграционни процеси предимно сред младите възрастови групи, което пряко довежда до увеличаване на относителния дял на възрастните сред населението. Емигрирането на цели млади семейства (заедно с децата) обуславя ускоряването на процеса на остаряване.</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момента няма незаети длъжности в социалните услуги на територията на община Борован. Квалификацията на служителите отговаря на изискванията за оптимално функциониране на услугите.</w:t>
      </w:r>
    </w:p>
    <w:p>
      <w:pPr>
        <w:keepNext w:val="true"/>
        <w:numPr>
          <w:ilvl w:val="0"/>
          <w:numId w:val="870"/>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БЯЛА СЛАТИНА</w:t>
      </w:r>
    </w:p>
    <w:p>
      <w:pPr>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Бяла Слатина информацията за подготовката на анализа е получена от НСИ,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(ДБТ) гр. Бяла Слатина, ДБТ гр. Бяла Слатина, План за интегрирано развитие на Община Бяла Слатина 2021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2027 </w:t>
      </w:r>
      <w:r>
        <w:rPr>
          <w:rFonts w:ascii="Times New Roman" w:hAnsi="Times New Roman" w:cs="Times New Roman" w:eastAsia="Times New Roman"/>
          <w:color w:val="auto"/>
          <w:spacing w:val="0"/>
          <w:position w:val="0"/>
          <w:sz w:val="24"/>
          <w:shd w:fill="auto" w:val="clear"/>
        </w:rPr>
        <w:t xml:space="preserve">година и др.</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Бяла Слатина, към 31.12.2021 г. е 20 206 жители, от тях 3855 деца до 18-годишна възраст (19,1%). Общия брой на лицата с трайни увреждания е 3748, от тях деца 163 (4,3%).</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60" w:line="240"/>
        <w:ind w:right="0" w:left="0" w:firstLine="0"/>
        <w:jc w:val="both"/>
        <w:rPr>
          <w:rFonts w:ascii="Times New Roman" w:hAnsi="Times New Roman" w:cs="Times New Roman" w:eastAsia="Times New Roman"/>
          <w:color w:val="auto"/>
          <w:spacing w:val="0"/>
          <w:position w:val="0"/>
          <w:sz w:val="24"/>
          <w:shd w:fill="5B9BD5" w:val="clear"/>
        </w:rPr>
      </w:pPr>
      <w:r>
        <w:rPr>
          <w:rFonts w:ascii="Times New Roman" w:hAnsi="Times New Roman" w:cs="Times New Roman" w:eastAsia="Times New Roman"/>
          <w:color w:val="auto"/>
          <w:spacing w:val="0"/>
          <w:position w:val="0"/>
          <w:sz w:val="24"/>
          <w:shd w:fill="5B9BD5" w:val="clear"/>
        </w:rPr>
        <w:t xml:space="preserve">На територията на община Бяла Слатина са разкрити 8 социални услуги, от който 5 са на територията на гр. Бяла Слатина, 2 в с. Бърдарски геран и ДСХ в с. Попица. Общият капацитет на социалните услуги е за 227 потребители, в т.ч. 83 асистентска подкрепа.</w:t>
      </w:r>
    </w:p>
    <w:tbl>
      <w:tblPr/>
      <w:tblGrid>
        <w:gridCol w:w="1847"/>
        <w:gridCol w:w="1703"/>
        <w:gridCol w:w="1071"/>
        <w:gridCol w:w="904"/>
        <w:gridCol w:w="1654"/>
        <w:gridCol w:w="846"/>
        <w:gridCol w:w="1035"/>
      </w:tblGrid>
      <w:tr>
        <w:trPr>
          <w:trHeight w:val="1" w:hRule="atLeast"/>
          <w:jc w:val="left"/>
        </w:trPr>
        <w:tc>
          <w:tcPr>
            <w:tcW w:w="1847"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703"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ЦНСТДМУ</w:t>
            </w:r>
          </w:p>
        </w:tc>
        <w:tc>
          <w:tcPr>
            <w:tcW w:w="1071"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ПЖ</w:t>
            </w:r>
          </w:p>
        </w:tc>
        <w:tc>
          <w:tcPr>
            <w:tcW w:w="904"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1654"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ЦНСТДБУ</w:t>
            </w:r>
          </w:p>
        </w:tc>
        <w:tc>
          <w:tcPr>
            <w:tcW w:w="846"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1035"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left"/>
        </w:trPr>
        <w:tc>
          <w:tcPr>
            <w:tcW w:w="184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СУ</w:t>
            </w:r>
          </w:p>
        </w:tc>
        <w:tc>
          <w:tcPr>
            <w:tcW w:w="17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0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6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8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0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84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потребители</w:t>
            </w:r>
          </w:p>
        </w:tc>
        <w:tc>
          <w:tcPr>
            <w:tcW w:w="17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28</w:t>
            </w:r>
          </w:p>
        </w:tc>
        <w:tc>
          <w:tcPr>
            <w:tcW w:w="10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9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w:t>
            </w:r>
          </w:p>
        </w:tc>
        <w:tc>
          <w:tcPr>
            <w:tcW w:w="16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8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60</w:t>
            </w:r>
          </w:p>
        </w:tc>
        <w:tc>
          <w:tcPr>
            <w:tcW w:w="10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83</w:t>
            </w:r>
          </w:p>
        </w:tc>
      </w:tr>
    </w:tbl>
    <w:p>
      <w:pPr>
        <w:spacing w:before="0" w:after="6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Бяла Слатина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Бяла Слатина е 23 лица.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Бяла Слатина, различна от общината по настоящ адрес</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Бяла Слатина, от други общини е 58. </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451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451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ПЖ</w:t>
            </w:r>
          </w:p>
        </w:tc>
        <w:tc>
          <w:tcPr>
            <w:tcW w:w="451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451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451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Информация за демографското развитие в община Бяла Слатина за последните 5 години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Развитието на демографските процеси в община Бяла Слатина през последните години е в неблагоприятна фаза, характеризираща се с влошаване на демографско възпроизводство, ниска раждаемост и висока смъртност и постепенно намаляване броя на населението.</w:t>
      </w:r>
    </w:p>
    <w:p>
      <w:pPr>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на територията на общината, в по-голямата си част са обезпечени с необходимите служители за осъществяване на дейностите. Свободни места има за шофьор, общ работник, зам. директор.</w:t>
      </w:r>
    </w:p>
    <w:p>
      <w:pPr>
        <w:keepNext w:val="true"/>
        <w:numPr>
          <w:ilvl w:val="0"/>
          <w:numId w:val="903"/>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ВРАЦА</w:t>
      </w:r>
    </w:p>
    <w:p>
      <w:pPr>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Враца информацията за нуждите на анализа е получена от Национален статистически институт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ТСБ Северозапад, отдел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Статистически изследвания“ - Враца, Регионална здравна инспекция (РЗИ)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Враца, ДСП гр. Враца, ДБТ гр. Враца, кметове и кметски наместници в община Враца, данни от социалните услуги, функциониращи на територията на Община Враца. Изпратени са официални писма до НСИ - ТСБ Северозапад, ДСП - Враца, РЗИ - Враца, ТП на НОИ,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Враца, кметовете на кметства и кметски наместници.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регламентирания срок в Община Враца са постъпили отговори от всички институции, с изключение на кметовете и кметските наместници на селата Върбица, Голямо Пещене, Нефела, Мало Пещене, Костелево и Лиляче. В обобщение на постъпилите отговори от компетентните институции е констатирано, че част от тях не предоставят или частично предоставят изисканата информация. ТП на НОИ - Враца, с писмо уведомява, че не е в тяхната компетентност да предоставят нужната за анализа на потребностите информация по зададените критерии. Регионална здравна инспекция /РЗИ/ - Враца, с писмо, предоставя информация за територията на област Враца, с уточнението, че не могат да бъдат конкретизирани данните по общини поотделно, тъй като ТЕЛК - Враца обслужва гражданите на областта.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Враца, към 31.12.2021 г. е 61 742 жители, от тях 10337 деца до 18-годишна възраст (16,7%). Общия брой на лицата с трайни увреждания е 9124, от тях деца 602 (6,6%).</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Враца са разкрити 12 социални услуги, всички са на територията на гр. Враца. Общият капацитет на социалните услуги е за 506 потребители, в т.ч. 266 асистентска подкрепа.</w:t>
      </w:r>
    </w:p>
    <w:tbl>
      <w:tblPr/>
      <w:tblGrid>
        <w:gridCol w:w="1588"/>
        <w:gridCol w:w="1224"/>
        <w:gridCol w:w="1112"/>
        <w:gridCol w:w="640"/>
        <w:gridCol w:w="777"/>
        <w:gridCol w:w="949"/>
        <w:gridCol w:w="1491"/>
        <w:gridCol w:w="665"/>
        <w:gridCol w:w="614"/>
      </w:tblGrid>
      <w:tr>
        <w:trPr>
          <w:trHeight w:val="1" w:hRule="atLeast"/>
          <w:jc w:val="left"/>
        </w:trPr>
        <w:tc>
          <w:tcPr>
            <w:tcW w:w="158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22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ДЦДМУ</w:t>
            </w:r>
          </w:p>
        </w:tc>
        <w:tc>
          <w:tcPr>
            <w:tcW w:w="111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ДЦПЛУ</w:t>
            </w:r>
          </w:p>
        </w:tc>
        <w:tc>
          <w:tcPr>
            <w:tcW w:w="64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ПЖ</w:t>
            </w:r>
          </w:p>
        </w:tc>
        <w:tc>
          <w:tcPr>
            <w:tcW w:w="77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94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НЖ</w:t>
            </w:r>
          </w:p>
        </w:tc>
        <w:tc>
          <w:tcPr>
            <w:tcW w:w="149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ЦНСТДМУ</w:t>
            </w:r>
          </w:p>
        </w:tc>
        <w:tc>
          <w:tcPr>
            <w:tcW w:w="66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ЗмБ</w:t>
            </w:r>
          </w:p>
        </w:tc>
        <w:tc>
          <w:tcPr>
            <w:tcW w:w="6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left"/>
        </w:trPr>
        <w:tc>
          <w:tcPr>
            <w:tcW w:w="15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СУ</w:t>
            </w:r>
          </w:p>
        </w:tc>
        <w:tc>
          <w:tcPr>
            <w:tcW w:w="122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7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6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6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5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потребители</w:t>
            </w:r>
          </w:p>
        </w:tc>
        <w:tc>
          <w:tcPr>
            <w:tcW w:w="122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60</w:t>
            </w:r>
          </w:p>
        </w:tc>
        <w:tc>
          <w:tcPr>
            <w:tcW w:w="11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7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50</w:t>
            </w:r>
          </w:p>
        </w:tc>
        <w:tc>
          <w:tcPr>
            <w:tcW w:w="9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14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42</w:t>
            </w:r>
          </w:p>
        </w:tc>
        <w:tc>
          <w:tcPr>
            <w:tcW w:w="6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6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266</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581"/>
        <w:gridCol w:w="2977"/>
        <w:gridCol w:w="2502"/>
      </w:tblGrid>
      <w:tr>
        <w:trPr>
          <w:trHeight w:val="1" w:hRule="atLeast"/>
          <w:jc w:val="left"/>
        </w:trPr>
        <w:tc>
          <w:tcPr>
            <w:tcW w:w="358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97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ЗЖЛПР</w:t>
            </w:r>
          </w:p>
        </w:tc>
        <w:tc>
          <w:tcPr>
            <w:tcW w:w="250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r>
      <w:tr>
        <w:trPr>
          <w:trHeight w:val="1" w:hRule="atLeast"/>
          <w:jc w:val="left"/>
        </w:trPr>
        <w:tc>
          <w:tcPr>
            <w:tcW w:w="358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СУ</w:t>
            </w:r>
          </w:p>
        </w:tc>
        <w:tc>
          <w:tcPr>
            <w:tcW w:w="297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5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58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потребители</w:t>
            </w:r>
          </w:p>
        </w:tc>
        <w:tc>
          <w:tcPr>
            <w:tcW w:w="297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25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50</w:t>
            </w:r>
          </w:p>
        </w:tc>
      </w:tr>
    </w:tbl>
    <w:p>
      <w:pPr>
        <w:spacing w:before="0" w:after="6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Враца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Враца е 204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ЗЖЛПР</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108</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Враца, различна от  общината по настоящ адрес</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Враца, от други общини е 61. </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ЗЖЛПР</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ПЖ</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НЖ</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ЗмБ</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r>
    </w:tbl>
    <w:p>
      <w:pPr>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Информация за демографското развитие в община Враца за последните 5 години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Демографската ситуация в община Враца е резултат от въздействието на различни фактори и влияния, специфични за територията на общината и обусловени от нейното историко-културно, социално-икономическо и демографско развитие. За период от 5 години /2017 г. - 2021 г./ населението на община Враца е намаляло с повече от 3 400 жители. В демографско отношение тенденциите в общината до 2021 г. са сходни с тези за цялата страна, но стойността на показателя естествен прираст е отрицателна и над средната за страната. </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Механичният прираст също е с отрицателна стойност, поради засилената миграция. Тя се дължи до голяма степен на близостта на административния център до гр. София, където се предоставят по</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добри условия за трудова реализация, в т. ч. значително по-високата средна брутна заплата. Освен раждаемостта, смъртността и миграционните процеси, съществено влияние върху развитието на демографските процеси в общината оказват и измененията в половата, възрастовата, етническата и образователната структура, бракоразводността на населението. Те влияят върху формирането на човешките ресурси в общината както в количествено, така и в качествено отношение. Прогресивно намалява относителният дял на лицата в трудоспособна възраст в селата от общината. Намалението на населението е един от основните лимитиращи фактори за бъдещото развитие на общината, които ще се отразят негативно най-вече върху работната сила и възпроизводствения потенциал на територията ѝ. През последните години не се наблюдава съществено изменение на етническата структура на населението в общината поради факта, че демографските тенденции, се отразяват върху броя на всички етнически групи.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Осигуряването на квалифициран човешки ресурс за управление и за предоставяне на социални услуги е необходимо действие както за осъществяване на адекватна подкрепа на потребителите, така и за гарантирането на качество на услугите.</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пет от услугите има недостиг както на квалифицирани служители /медицински сестри и трудотерапевти/, така и на персонал, пряко ангажиран с потребителите /санитари/.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Съществува изградено добро партньорство с ВТУ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Св. св. Кирил и Методий”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филиал Враца във връзка със стажуване и практическо обучение на студенти от специалностите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Социални дейности” 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Социална педагогика” във всички социални услуги.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Редовно се провеждат обучения за повишаване на професионалните умения и квалификация на служителите и ръководителите на социалните услуги, като се включват в обучения и супервизии за професионалната им подкрепа, което е предпоставка за подобряване на ефективността на предоставяните услуги.</w:t>
      </w:r>
    </w:p>
    <w:p>
      <w:pPr>
        <w:keepNext w:val="true"/>
        <w:numPr>
          <w:ilvl w:val="0"/>
          <w:numId w:val="954"/>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КОЗЛОДУЙ</w:t>
      </w:r>
    </w:p>
    <w:p>
      <w:pPr>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Козлодуй информацията по показателите на анализа е получена от Териториално статистическо бюро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Враца; ДБТ гр. Козлодуй;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Козлодуй; Отдел ГРАО към Община Козлодуй. Необходимата информация е представена в пълен обем, от различните администрации. Друг източник са публикуваните данни на сайта на Националния статистически институт, от където е ползвана директна информация, публикувана в разделите на самия сайт. Част от данните са поискани от повече от един източник, като е взет под внимание по-оптималният вариант за целите на планирането и анализирането на социалната ситуация в община Козлодуй.</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Козлодуй, към 31.12.2021 г. е 18015 жители, от тях 3480 деца до 18-годишна възраст (19,3%). Общия брой на лицата с трайни увреждания е 2365, от тях деца 139 (5,9%).</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Козлодуй са разкрити 10 социални услуги, 3 са в гр. Козлодуй, 1 в с. Бутан, 3 в с. Хърлец и 3 в с. Гложене. Общият капацитет на социалните услуги е за 218 потребители, в т.ч. 43 асистентска подкрепа.</w:t>
      </w:r>
    </w:p>
    <w:tbl>
      <w:tblPr/>
      <w:tblGrid>
        <w:gridCol w:w="1664"/>
        <w:gridCol w:w="1191"/>
        <w:gridCol w:w="1163"/>
        <w:gridCol w:w="1335"/>
        <w:gridCol w:w="814"/>
        <w:gridCol w:w="1750"/>
        <w:gridCol w:w="1143"/>
      </w:tblGrid>
      <w:tr>
        <w:trPr>
          <w:trHeight w:val="1" w:hRule="atLeast"/>
          <w:jc w:val="left"/>
        </w:trPr>
        <w:tc>
          <w:tcPr>
            <w:tcW w:w="166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19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116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133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ЦСРИПЛ</w:t>
            </w:r>
          </w:p>
        </w:tc>
        <w:tc>
          <w:tcPr>
            <w:tcW w:w="8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175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ЦНСТПЛФУ</w:t>
            </w:r>
          </w:p>
        </w:tc>
        <w:tc>
          <w:tcPr>
            <w:tcW w:w="114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ЗЖЛПР</w:t>
            </w:r>
          </w:p>
        </w:tc>
      </w:tr>
      <w:tr>
        <w:trPr>
          <w:trHeight w:val="1" w:hRule="atLeast"/>
          <w:jc w:val="left"/>
        </w:trPr>
        <w:tc>
          <w:tcPr>
            <w:tcW w:w="166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1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3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11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66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1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1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3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8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45</w:t>
            </w:r>
          </w:p>
        </w:tc>
        <w:tc>
          <w:tcPr>
            <w:tcW w:w="11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757"/>
        <w:gridCol w:w="2685"/>
        <w:gridCol w:w="2685"/>
      </w:tblGrid>
      <w:tr>
        <w:trPr>
          <w:trHeight w:val="1" w:hRule="atLeast"/>
          <w:jc w:val="left"/>
        </w:trPr>
        <w:tc>
          <w:tcPr>
            <w:tcW w:w="375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68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268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37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6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6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433" w:hRule="auto"/>
          <w:jc w:val="left"/>
        </w:trPr>
        <w:tc>
          <w:tcPr>
            <w:tcW w:w="37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6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26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43</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Козлодуй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Козлодуй е 9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ЗЖЛПР</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Козлодуй, различна от  общината по настоящ адрес</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Козлодуй, от други общини е 75.</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ЦНСТПЛФУ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ЗЖЛПР</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26</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Козлодуй за последните 5 години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Демографските данни сочат, че относителният дял на населението под трудоспособна и в трудоспособна възраст бележи тенденция на намаляване. Това е за сметка на нарастване на относителния дял на населението над трудоспособна възраст. Делът на лицата в трудоспособна и над трудоспособна възраст намалява през 5 години.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настоящия момент всички щатни бройки по длъжностно разписание на функциониращите социални услуги са заети, с изключение на длъжността психолог в ЦСРИ.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1004"/>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КРИВОДОЛ</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Криводол информацията по показателите на анализа е получена от НСИ; РЗИ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Враца; звено ГРАО и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Специализирана администрация”, ДСП, ДБТ, проведени от Община Криводол специално за целите на планирането на социалните услуги проучвания.</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Криводол, към 31.12.2021 г. е 8985 жители, от тях 1430 деца до 18-годишна възраст (83,2%). Общия брой на лицата с трайни увреждания е 1109, от тях деца 91 (8,2%).</w:t>
      </w:r>
    </w:p>
    <w:p>
      <w:pPr>
        <w:spacing w:before="0" w:after="6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Криводол се предоставя само Асистентска подкрепа. </w:t>
      </w:r>
    </w:p>
    <w:tbl>
      <w:tblPr/>
      <w:tblGrid>
        <w:gridCol w:w="6648"/>
        <w:gridCol w:w="2412"/>
      </w:tblGrid>
      <w:tr>
        <w:trPr>
          <w:trHeight w:val="1" w:hRule="atLeast"/>
          <w:jc w:val="left"/>
        </w:trPr>
        <w:tc>
          <w:tcPr>
            <w:tcW w:w="664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41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66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4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66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4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38</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Криводол</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чакащи - желаещи да ползват социалната услуга Асистентска подкрепа.</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Криводол, различна от общината по настоящ адрес</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Всички лица, ползващи социалната услуга са жители на община Криводол.</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Криводол за последните 5 години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Демографските тенденции най-общо могат да бъдат обобщени в следните акценти: намаляване на броя на населението, ниска раждаемост, застаряване и концентрация на населението в големите агломерации, нарушаване на основните структури на населението, задълбочаване на регионалните демографски диспропорции, както и специфичните за страните в преход, по-високи нива на смъртност и интензивна външна миграция. Негативните демографски процеси, характерни за България през последните години засягат в голяма степен и община Криводол. Застаряването на населението и непрекъснато увеличаващия се брой на самотните възрастни хора и хора с увреждания, които са социално изолирани, не могат сами да се обгрижват и задоволяват ежедневните си потребности, поражда необходимостта от търсенето на възможности и перспективи за предоставяне на нови услуги, с цел насърчаване на социалното включване и интегриране в обществото на тези групи в неравностойно положение.</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настоящия момент няма незаети длъжности.</w:t>
      </w:r>
    </w:p>
    <w:p>
      <w:pPr>
        <w:keepNext w:val="true"/>
        <w:numPr>
          <w:ilvl w:val="0"/>
          <w:numId w:val="1017"/>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МЕЗДРА</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Мездра информацията за показателите е получена от ТП на НСИ Враца, ДСП, ДБТ, ГРАО и отделите, отговорни за социални, образователни дейности и др. </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Мездра, към 31.12.2021 г. е 19637 жители, от тях 2243 деца до 18-годишна възраст (11,4%). Общия брой на лицата с трайни увреждания е 3231, от тях деца 132 (4,1%).</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Мездра са разкрити 8 социални услуги, като всички са разположени в гр. Мездра. Общият капацитет на социалните услуги е за 164 потребители, в т.ч. 88 асистентска подкрепа.</w:t>
      </w:r>
    </w:p>
    <w:tbl>
      <w:tblPr/>
      <w:tblGrid>
        <w:gridCol w:w="1773"/>
        <w:gridCol w:w="1588"/>
        <w:gridCol w:w="1664"/>
        <w:gridCol w:w="1328"/>
        <w:gridCol w:w="1252"/>
        <w:gridCol w:w="643"/>
        <w:gridCol w:w="812"/>
      </w:tblGrid>
      <w:tr>
        <w:trPr>
          <w:trHeight w:val="1" w:hRule="atLeast"/>
          <w:jc w:val="left"/>
        </w:trPr>
        <w:tc>
          <w:tcPr>
            <w:tcW w:w="177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58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166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132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ПЖПУИ</w:t>
            </w:r>
          </w:p>
        </w:tc>
        <w:tc>
          <w:tcPr>
            <w:tcW w:w="125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64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81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r>
      <w:tr>
        <w:trPr>
          <w:trHeight w:val="1" w:hRule="atLeast"/>
          <w:jc w:val="left"/>
        </w:trPr>
        <w:tc>
          <w:tcPr>
            <w:tcW w:w="177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5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6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3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6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77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5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6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28</w:t>
            </w:r>
          </w:p>
        </w:tc>
        <w:tc>
          <w:tcPr>
            <w:tcW w:w="13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12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6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88</w:t>
            </w:r>
          </w:p>
        </w:tc>
        <w:tc>
          <w:tcPr>
            <w:tcW w:w="8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Мездра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Мездра е 4 лица.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 </w:t>
      </w: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Мездра, различна от  общината по настоящ адрес</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Мездра, от други общини е 56.</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35</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ПЖ</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Мездра за последните 5 години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Броят на населението и промените в него са резултат от комбинираното влияние на естественото и на механичното му движение. Демографската характеристика на общината очертава неблагоприятна тенденция в състоянието и развитието както на естественото, така и на механичното движение на населението. Разпределението на населението на общината по типа на населените места (град-села) показва, че по-голямата част от него е съсредоточено в общинския център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Мездра. Освен общинският център с относително по-висок брой на населението е само с. Зверино, останалите населени места са с брой на население под 1000 души, като има и няколко селища с население под 200 души. Тази демографска характеристика на населените места дава основания по-голямата част от тях да бъдат определени като селища с ниска демографска жизненост.</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настоящия момент всички щатни бройки по длъжностно разписание на функциониращите социални услуги са заети, с изключение на длъжността социален работник, медицински специалист и готвач. Услугите функционират оптимално съобразно определените минимални изисквания за стандартите за качество на социалните услуги.</w:t>
      </w:r>
    </w:p>
    <w:p>
      <w:pPr>
        <w:keepNext w:val="true"/>
        <w:numPr>
          <w:ilvl w:val="0"/>
          <w:numId w:val="1052"/>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МИЗИЯ</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Мизия информацията за показателите е получена от ДСП, ДБТ, Дом за стари хора с. Липница, Национална база данни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ГРАО”, НСИ и др.</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Мизия, към 31.12.2021 г. е 6413 жители, от тях 959 деца до 18-годишна възраст (15,0%). Общия брой на лицата с трайни увреждания е 830, от тях деца 30 (3,6%).</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Мизия са разкрити 2 социални услуги, една в гр. Мизия и 1 в с. Липница. Общият капацитет на социалните услуги е за 62 потребители, в т.ч. 27 асистентска подкрепа.</w:t>
      </w:r>
    </w:p>
    <w:tbl>
      <w:tblPr/>
      <w:tblGrid>
        <w:gridCol w:w="4726"/>
        <w:gridCol w:w="2167"/>
        <w:gridCol w:w="2167"/>
      </w:tblGrid>
      <w:tr>
        <w:trPr>
          <w:trHeight w:val="1" w:hRule="atLeast"/>
          <w:jc w:val="left"/>
        </w:trPr>
        <w:tc>
          <w:tcPr>
            <w:tcW w:w="472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16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216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472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1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1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72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1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35</w:t>
            </w:r>
          </w:p>
        </w:tc>
        <w:tc>
          <w:tcPr>
            <w:tcW w:w="21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27</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Мизия е 5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Мизия, различна от общината по настоящ адрес</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Мизия, от други общини е 14.</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Мизия за последните 5 години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Демографската криза в община Мизия се задълбочава. Динамиката на населението през последните години показва трайна тенденция към намаление. В резултат на цялостното негативно демографско развитие, наблюдаваната ситуация на общинско ниво, не прави изключение от проявяващите се национални тенденции, характеризиращи демографското развитие.</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През последните години се наблюдава намаляване и обезлюдяване на населените места в община Мизия, както и неблагоприятната тенденция на ниска раждаемост. Изведените статистически данни за населението по възрастови групи красноречиво показват</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тенденции към застаряване. Жителите в общината са хора, които са в над трудоспособна възраст, в повечето случаи самотно живеещи, страдащи от различни заболявания и хора с увреждания,  които се нуждаят от постоянни грижи с цел подобряване качеството им на живот и възможностите за социално включване.</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настоящият момент в ДСХ има една незаета длъжност - трудотерапевт. Съществен е проблема при наемане на работа на медицински сестри. Всички назначени мед. сестри са в пенсионна възраст и са жители на други общини. Налице е необходимост от медицински специалисти в трудоспособна възраст, които да полагат необходимите грижи за възрастните хора в дома за стари хора. С приемането на наредбата за качеството на социалните услуги е задължително всички служители предоставящи грижи за потребителите да са преминали съответните обучения и да имат квалификации за работа с възрастни хора. </w:t>
      </w:r>
    </w:p>
    <w:p>
      <w:pPr>
        <w:keepNext w:val="true"/>
        <w:numPr>
          <w:ilvl w:val="0"/>
          <w:numId w:val="1078"/>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ОРЯХОВО</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6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По данни на община Оряхово информацията за населението по настоящ адрес е получена от НСИ, ДСП, ДБТ, кметства по населени места, Национална база </w:t>
      </w:r>
      <w:r>
        <w:rPr>
          <w:rFonts w:ascii="Times New Roman" w:hAnsi="Times New Roman" w:cs="Times New Roman" w:eastAsia="Times New Roman"/>
          <w:color w:val="auto"/>
          <w:spacing w:val="-2"/>
          <w:position w:val="0"/>
          <w:sz w:val="24"/>
          <w:shd w:fill="auto" w:val="clear"/>
        </w:rPr>
        <w:t xml:space="preserve">„</w:t>
      </w:r>
      <w:r>
        <w:rPr>
          <w:rFonts w:ascii="Times New Roman" w:hAnsi="Times New Roman" w:cs="Times New Roman" w:eastAsia="Times New Roman"/>
          <w:color w:val="auto"/>
          <w:spacing w:val="-2"/>
          <w:position w:val="0"/>
          <w:sz w:val="24"/>
          <w:shd w:fill="auto" w:val="clear"/>
        </w:rPr>
        <w:t xml:space="preserve">ГРАО“ и др.</w:t>
      </w:r>
    </w:p>
    <w:p>
      <w:pPr>
        <w:spacing w:before="0" w:after="6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Общият брой на населението на община Оряхово, към 31.12.2021 г. е 10753 жители, от тях 892 деца до 18-годишна възраст (8,3%). Общия брой на лицата с трайни увреждания е 1161, от тях деца 50 (4,3%).</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Оряхово са разкрити 2 социални услуги и двете се предоставят в гр. Оряхово. Общият капацитет на социалните услуги е за 58 потребители, в т.ч. 38 асистентска подкрепа.</w:t>
      </w:r>
    </w:p>
    <w:tbl>
      <w:tblPr/>
      <w:tblGrid>
        <w:gridCol w:w="4728"/>
        <w:gridCol w:w="2312"/>
        <w:gridCol w:w="2020"/>
      </w:tblGrid>
      <w:tr>
        <w:trPr>
          <w:trHeight w:val="1" w:hRule="atLeast"/>
          <w:jc w:val="left"/>
        </w:trPr>
        <w:tc>
          <w:tcPr>
            <w:tcW w:w="472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31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202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472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3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0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72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3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20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38</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общината има 14 чакащи лица за ползване на социалната услуга Асистентска подкрепа.</w:t>
      </w: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Оряхово, различна от  общината по настоящ адрес</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Оряхово, от други общини е 6.</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Оряхово за последните 5 години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Тенденцията на остаряване на населението води до промени в неговата основна възрастова структура - разпределението на населението под, в и над трудоспособна възраст.</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Населението в под трудоспособна възраст заема по-малък относителен дял в сравнение с това на областта и страната, като към момента на изследването делът на населението в трудоспособна възраст също е по-малък в сравнение със същия за страната и областта, като това води може да доведе до недостиг на трудови ресурси на територията на общината. Като основен проблем обаче, може да се очертае високия дял на население в над трудоспособна възраст.</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настоящият момент в Център за обществена подкрепа е незаета 0,5 длъжност педагог. Съществува голямо текучество на служители за тази позиция, защото голяма част от квалифицираните лица се ориентират в сферата на образованието поради по-високи възнаграждения.</w:t>
      </w:r>
    </w:p>
    <w:p>
      <w:pPr>
        <w:keepNext w:val="true"/>
        <w:numPr>
          <w:ilvl w:val="0"/>
          <w:numId w:val="1103"/>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РОМАН</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Роман информацията за населението по настоящ адрес е получена от НСИ, ДСП, ДБТ, регистри на Министерството на образованието и науката, регистри на РЗИ и др.</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Роман, към 31.12.2021 г. е 5068 жители, от тях 747 деца до 18-годишна възраст (14,7%). Общия брой на лицата с трайни увреждания е 1066, от тях деца 64 (6,0%).</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Роман са разкрити 9 социални услуги и всички се предоставят в гр. Роман. Общият капацитет на социалните услуги е за 129 потребители, в т.ч. 29 асистентска подкрепа.</w:t>
      </w:r>
    </w:p>
    <w:tbl>
      <w:tblPr/>
      <w:tblGrid>
        <w:gridCol w:w="1885"/>
        <w:gridCol w:w="1349"/>
        <w:gridCol w:w="923"/>
        <w:gridCol w:w="1690"/>
        <w:gridCol w:w="1771"/>
        <w:gridCol w:w="759"/>
        <w:gridCol w:w="683"/>
      </w:tblGrid>
      <w:tr>
        <w:trPr>
          <w:trHeight w:val="1" w:hRule="atLeast"/>
          <w:jc w:val="left"/>
        </w:trPr>
        <w:tc>
          <w:tcPr>
            <w:tcW w:w="188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34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92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169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177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75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ПЖ</w:t>
            </w:r>
          </w:p>
        </w:tc>
        <w:tc>
          <w:tcPr>
            <w:tcW w:w="68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188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3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6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7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7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 </w:t>
            </w:r>
          </w:p>
        </w:tc>
        <w:tc>
          <w:tcPr>
            <w:tcW w:w="6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88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3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9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6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w:t>
            </w:r>
          </w:p>
        </w:tc>
        <w:tc>
          <w:tcPr>
            <w:tcW w:w="17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7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6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29</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общината има 7 чакащи лица за ползване на социалната услуга Асистентска подкрепа.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Роман, различна от  общината по настоящ адрес</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Роман, от други общини е 64.</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29</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ПЖ</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Роман за последните 5 години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общината се наблюдава трайна тенденция към намаляване на населението, както и в административния център гр. Роман, така и на околните села. Задълбочават се диспропорциите в териториалното разпределение на населението и процесите на обезлюдяването на определени райони и села. Ясно изразена е тенденцията към намаляване на населението, отрицателен естествен прираст и застаряване. Интензивна е миграцията, предимно на млади хора и семейства в активна репродуктивна и трудоспособна възраст. Променящ се семеен модел с увеличаващо се предпочитание към съжителство без брак.</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Във всички социални услуги е назначен необходимият персонал, който да предоставя услугите качествено и ефективно. Всички специалисти притежават необходимото за заемане на съответната длъжност образование. В по-голямата част от социалните услуги не се наблюдава текучество на персонала, което е предпоставка за последователност и стабилност при работата.</w:t>
      </w:r>
    </w:p>
    <w:p>
      <w:pPr>
        <w:keepNext w:val="true"/>
        <w:numPr>
          <w:ilvl w:val="0"/>
          <w:numId w:val="1134"/>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 </w:t>
      </w:r>
      <w:r>
        <w:rPr>
          <w:rFonts w:ascii="Times New Roman" w:hAnsi="Times New Roman" w:cs="Times New Roman" w:eastAsia="Times New Roman"/>
          <w:b/>
          <w:color w:val="003366"/>
          <w:spacing w:val="0"/>
          <w:position w:val="0"/>
          <w:sz w:val="24"/>
          <w:shd w:fill="auto" w:val="clear"/>
        </w:rPr>
        <w:t xml:space="preserve">ОБЩИНА ХАЙРЕДИН</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Хайредин информацията за населението по настоящ адрес е получена от НСИ, Общинска администрация Хайредин, ДСП - гр. Козлодуй, ДБТ гр. Козлодуй, кметства по населени места в общината и др.</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Хайредин, към 31.12.2021 г. е 3888 жители, от тях 649 деца до 18-годишна възраст (16,7%). Общия брой на лицата с трайни увреждания е 727, от тях деца 30 (4,1%).</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Хайредин са разкрити 3 социални услуги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в с. Манастирище и 2 в с. Хайредин. Общият капацитет на социалните услуги е за 87 потребители, в т.ч. 21 асистентска подкрепа.</w:t>
      </w:r>
    </w:p>
    <w:tbl>
      <w:tblPr/>
      <w:tblGrid>
        <w:gridCol w:w="3351"/>
        <w:gridCol w:w="2366"/>
        <w:gridCol w:w="2129"/>
        <w:gridCol w:w="1214"/>
      </w:tblGrid>
      <w:tr>
        <w:trPr>
          <w:trHeight w:val="1" w:hRule="atLeast"/>
          <w:jc w:val="left"/>
        </w:trPr>
        <w:tc>
          <w:tcPr>
            <w:tcW w:w="335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36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212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12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33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1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 </w:t>
            </w:r>
          </w:p>
        </w:tc>
        <w:tc>
          <w:tcPr>
            <w:tcW w:w="12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3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21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60</w:t>
            </w:r>
          </w:p>
        </w:tc>
        <w:tc>
          <w:tcPr>
            <w:tcW w:w="12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21</w:t>
            </w:r>
          </w:p>
        </w:tc>
      </w:tr>
    </w:tbl>
    <w:p>
      <w:pPr>
        <w:spacing w:before="0" w:after="6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Хайредин е 169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157</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Роман, различна от  общината по настоящ адрес</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Хайредин, от други общини е 54. </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47</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Роман за последните 5 години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През последните години раждаемостта е все по-ниска. Равнището на общата смъртност е значително по-високо в сравнение с предходните години през целия изследван период. Високите стойности на смъртност и относително невисоките стойности на раждаемост водят до отрицателен естествен прираст за територията на общината. Ясно изразеният отрицателен естествен прираст дава основание да се твърди, че е налице трайно влошаване на показателите за възпроизводство на населението в общността. Показателите за механичния прираст на населението показват запазване на тенденцията за увеличаване на външните миграции, предизвикани от влошената икономическа обстановка и високият процент на безработица. През последните години се наблюдава отрицателен механичен прираст.</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минималните изисквания в стандартите за качество на социалните услуги, касаещи броя и квалификацията на необходимите служители в Защитено жилище за лица с умствена изостаналост не могат да се назначат допълнителни специалисти. По граждански договор, могат да се назначат психолози. По минималните изисквания в стандартите за качество на социалните услуги, касаещи броя и квалификацията на необходимите служители в ДСХ имат нужда от психолог, рехабилитатор и трудотерапевт.</w:t>
      </w:r>
    </w:p>
    <w:p>
      <w:pPr>
        <w:keepNext w:val="true"/>
        <w:numPr>
          <w:ilvl w:val="0"/>
          <w:numId w:val="1164"/>
        </w:numPr>
        <w:tabs>
          <w:tab w:val="left" w:pos="718" w:leader="none"/>
        </w:tabs>
        <w:spacing w:before="360" w:after="120" w:line="240"/>
        <w:ind w:right="0" w:left="718"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АНАЛИЗ НА ПОТРЕБНОСТИТЕ В ОБЛАСТ ВРАЦА (обобщено)</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обобщени за област Враца по общини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общините от област Враца информацията за населението по критериите съгласно Наредбата за планиране на социалните услуги е получена от НСИ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ТСБ Северозапад, отдел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Статистически изследвания“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Враца, информационна система ГРАО на общините, РЗИ, ДСП, ДБТ, кметове и кметски наместници, от Местните комисии за борба срещу противообществените прояви на малолетни и непълнолетни, училища, лечебни заведения, социални услуги, стратегически планове и др.</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област Враца, към 31.12.2021 г. е 159 637 жители, от тях 25 672 деца до 18-годишна възраст (16,1%). Общия брой на лицата с трайни увреждания е 23 935, от тях деца 1335 (5,6%).</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областта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брои на социалните услуги на територията на област Враца е 58 с 1 534 потребители. Броят на социалните услуги за пълнолетни лица е 29, с 1 054 потребители.</w:t>
      </w:r>
    </w:p>
    <w:p>
      <w:pPr>
        <w:spacing w:before="0" w:after="6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за деца са 29 със 480 потребители.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графиките е видно, че на територията на областта преобладават услугите за резидентна грижа (ЦНСТ, ЗЖ, ПЖ, НЖ) 31 услуги за 341 потребители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услугите в домашна среда (АП)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10 </w:t>
      </w:r>
      <w:r>
        <w:rPr>
          <w:rFonts w:ascii="Times New Roman" w:hAnsi="Times New Roman" w:cs="Times New Roman" w:eastAsia="Times New Roman"/>
          <w:color w:val="auto"/>
          <w:spacing w:val="0"/>
          <w:position w:val="0"/>
          <w:sz w:val="24"/>
          <w:shd w:fill="auto" w:val="clear"/>
        </w:rPr>
        <w:t xml:space="preserve">услуги за 654 потребители, услугите в специализирани институции за пълнолетни лица (ДСХ) 5 услуги за 225 потребители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консултативни услуги (ДЦ, ЦСРИ, ЦОП, ЗМБ)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12 </w:t>
      </w:r>
      <w:r>
        <w:rPr>
          <w:rFonts w:ascii="Times New Roman" w:hAnsi="Times New Roman" w:cs="Times New Roman" w:eastAsia="Times New Roman"/>
          <w:color w:val="auto"/>
          <w:spacing w:val="0"/>
          <w:position w:val="0"/>
          <w:sz w:val="24"/>
          <w:shd w:fill="auto" w:val="clear"/>
        </w:rPr>
        <w:t xml:space="preserve">услуги за 314 потребители.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област Враца</w:t>
      </w:r>
    </w:p>
    <w:tbl>
      <w:tblPr/>
      <w:tblGrid>
        <w:gridCol w:w="4037"/>
        <w:gridCol w:w="5023"/>
      </w:tblGrid>
      <w:tr>
        <w:trPr>
          <w:trHeight w:val="1" w:hRule="atLeast"/>
          <w:jc w:val="left"/>
        </w:trPr>
        <w:tc>
          <w:tcPr>
            <w:tcW w:w="403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02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212</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ЗЖЛПР</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113</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Общо</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348</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Общо 348 лица са включени в списъците на чакащите за ползване на социални услуги в териториалния обхват на област Враца. Голям е и броят на лицата за включване в Асистентска подкрепа.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следващата графика е представено сравнение между функциониращите към момента социални услуги, финансирани от държавния бюджет, съотнесени към социалните услуги по чл. 15 от ЗСУ, максималния брой потребители, съгласно критериите по Наредбата за планиране на социалните услуги и поетите ангажименти от общините в областта.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област Враца, различна от общината по настоящ адрес</w:t>
      </w:r>
    </w:p>
    <w:p>
      <w:pPr>
        <w:spacing w:before="0" w:after="6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и интегрирани здравно-социални услуги на територията на област Враца, различна от общината по настоящ адрес е 406. Най-голям е техният брой в социалните услуги на територията на общините Козлодуй, Роман, Враца, Бяла Слатина, Мездра, Хайредин, следвани от общините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Борован, Мизия, Оряхово. </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8"/>
        <w:gridCol w:w="4512"/>
      </w:tblGrid>
      <w:tr>
        <w:trPr>
          <w:trHeight w:val="1" w:hRule="atLeast"/>
          <w:jc w:val="left"/>
        </w:trPr>
        <w:tc>
          <w:tcPr>
            <w:tcW w:w="454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4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101</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4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ДЦДПЛУ</w:t>
            </w:r>
          </w:p>
        </w:tc>
        <w:tc>
          <w:tcPr>
            <w:tcW w:w="4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ЗЖЛПР</w:t>
            </w:r>
          </w:p>
        </w:tc>
        <w:tc>
          <w:tcPr>
            <w:tcW w:w="4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4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ПЖ</w:t>
            </w:r>
          </w:p>
        </w:tc>
        <w:tc>
          <w:tcPr>
            <w:tcW w:w="4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НЖ</w:t>
            </w:r>
          </w:p>
        </w:tc>
        <w:tc>
          <w:tcPr>
            <w:tcW w:w="4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ЗМБ</w:t>
            </w:r>
          </w:p>
        </w:tc>
        <w:tc>
          <w:tcPr>
            <w:tcW w:w="4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4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51</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4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103</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ЦНСТПЛФУ</w:t>
            </w:r>
          </w:p>
        </w:tc>
        <w:tc>
          <w:tcPr>
            <w:tcW w:w="4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4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60</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ЦСРИПЛ</w:t>
            </w:r>
          </w:p>
        </w:tc>
        <w:tc>
          <w:tcPr>
            <w:tcW w:w="4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община Криводол се предоставя единствено Асистентска подкрепа и потребителите са от съответната община.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област Враца за последните 5години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Анализа на данните на демографското развитие в област Враца за периода 2021 г.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2017 </w:t>
      </w:r>
      <w:r>
        <w:rPr>
          <w:rFonts w:ascii="Times New Roman" w:hAnsi="Times New Roman" w:cs="Times New Roman" w:eastAsia="Times New Roman"/>
          <w:color w:val="auto"/>
          <w:spacing w:val="0"/>
          <w:position w:val="0"/>
          <w:sz w:val="24"/>
          <w:shd w:fill="auto" w:val="clear"/>
        </w:rPr>
        <w:t xml:space="preserve">г. показва тенденция към намаление на броя на населението във всички общини. </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Във всички общини се отчита ниска раждаемост с тенденция към намаление, висока смъртност и отрицателен естествен прираст. Прогресивно намаляване на относителния дял на лицата в трудоспособна възраст. Устойчива тенденция към емиграция и обезлюдяване. Тенденцията за изминалите години е трайна, като е особено неблагоприятна за периода 2017-2021 г. Влияние върху възрастовата структура на населението на областта оказват промените в раждаемостта и смъртността, продължителността на живота и жизненият стандарт на населението. Възрастовата структура на населението оказва влияние върху възпроизводството на населението, както и върху формирането на трудовия потенциал на областта. Висок е броя на хората с увреждания, както и на самотно живеещите стари хора от селата в общината, с невъзможност за самообслужване. Сред основните и най-важни характеристики на населението е етническият му състав. Той оказва влияние върху възпроизводството на населението, както и върху общественото поведение и трудовата активност на лицата. През последните години не се наблюдава съществено изменение на етническата структура на населението в областта поради факта, че демографските тенденции, характерни за всички общини, се отразяват върху броя на всички етнически групи.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Всички тези фактори, показват че на територията на областта населението застарява и има необходимост от социални услуги за резидентна грижа и услуги в домашна среда. Към настоящия момент всички общини имат ползватели на механизма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Лична помощ“ по реда на Закона за личната помощ, участват и в процедура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Топъл обяд“ на Програма за храни и основно материално подпомагане 2021 г. -2027 г., в процедура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Патронажна грижа +“ и др. с оглед осигуряване на възможност за грижа и подкрепа на по-голяма част от населението в областта. Процесът на обезлюдяване в областта е проблем, тъй като създава затруднения, свързани с функционирането на важни обекти на здравната, социалната и образователната инфраструктура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детски заведения, училища, здравни заведения за болнична и доболнична помощ, социални услуги и др.</w:t>
      </w:r>
    </w:p>
    <w:p>
      <w:pPr>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Осигуряването на квалифициран човешки ресурс за управление и за предоставяне на социални услуги е необходимо както за осъществяване на адекватна подкрепа на потребителите, така и за гарантирането на качество на услугите. Социалните услуги на територията на областта, в по-голямата си част са обезпечени с необходимите служители за осъществяване на дейностите. Важно е да се отбележи, че се очертава недостиг не само на квалифицирани специалисти медицински сестри, трудотерапевти, социални работници, педагози, а и на служители за длъжностите - шофьор, общ работник, санитари, готвач. Текучеството на персонал в социалните услуги е в резултат на назначаване на медицински персонал в пенсионна възраст. Квалифицирани кадри се ориентират в сферата на образованието поради по-високите възнаграждения.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Въпреки предизвикателствата, услугите функционират оптимално съобразно определените минимални изисквания за стандартите за качество на социалните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контекста на изложеното, следва да се отчете подхода на община Враца за осигуряване на някои от нужните за развитието на социалните услуги в общината кадри - изградено е добро партньорство с ВТУ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Св. св. Кирил и Методий”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филиал Враца, като е осигурено стажуване и практическо обучение на студенти от специалностите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Социални дейности” 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Социална педагогика” във всички социални услуги на територията на общината.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Враца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са ключов фактор за ефективно социално включване и участие в живота на обществото на всички групи лица, които имат необходимост от подкрепа. Във основа на направения анализ на състоянието на социалните услуги на територията на областта и очерталите се тенденции, могат да се направят следните изводи: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има голям брой социални услуги за резидентна грижа и грижа в домашна среда;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Броят на услугите за превенция, терапия и дневна грижа е изключително малък, като услуги се предоставят само в 5 от общините в областта;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няма интегрирани здравно-социални услуги за деца и пълнолетни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Предвид ключовото значение на социалните услуги за качеството на живот на населението, предоставянето на разнообразни и качествени социални услуги, съобразени с потребностите на хората, е изключително важен и значим приоритет в провежданите политики на местно ниво.</w:t>
      </w:r>
    </w:p>
    <w:p>
      <w:pPr>
        <w:keepNext w:val="true"/>
        <w:numPr>
          <w:ilvl w:val="0"/>
          <w:numId w:val="1220"/>
        </w:numPr>
        <w:tabs>
          <w:tab w:val="left" w:pos="718" w:leader="none"/>
        </w:tabs>
        <w:spacing w:before="360" w:after="120" w:line="240"/>
        <w:ind w:right="0" w:left="718" w:hanging="576"/>
        <w:jc w:val="both"/>
        <w:rPr>
          <w:rFonts w:ascii="Times New Roman" w:hAnsi="Times New Roman" w:cs="Times New Roman" w:eastAsia="Times New Roman"/>
          <w:b/>
          <w:color w:val="003366"/>
          <w:spacing w:val="0"/>
          <w:position w:val="0"/>
          <w:sz w:val="28"/>
          <w:shd w:fill="auto" w:val="clear"/>
        </w:rPr>
      </w:pPr>
      <w:r>
        <w:rPr>
          <w:rFonts w:ascii="Times New Roman" w:hAnsi="Times New Roman" w:cs="Times New Roman" w:eastAsia="Times New Roman"/>
          <w:b/>
          <w:color w:val="003366"/>
          <w:spacing w:val="0"/>
          <w:position w:val="0"/>
          <w:sz w:val="28"/>
          <w:shd w:fill="auto" w:val="clear"/>
        </w:rPr>
        <w:t xml:space="preserve">ОБЛАСТ ЛОВЕЧ </w:t>
      </w:r>
    </w:p>
    <w:p>
      <w:pPr>
        <w:keepNext w:val="true"/>
        <w:numPr>
          <w:ilvl w:val="0"/>
          <w:numId w:val="1220"/>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АПРИЛЦИ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Априлци информацията за критериите необходими за анализа е получена от НСИ, ДСП, ДБТ, данни от документацията на действащите социални услуги в общината, Местна комисия за борба с противообществените прояви на малолетни и  непълнолетни и др.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Априлци, към 31.12.2021 г. е 2439 жители, от тях 261 деца до 18-годишна възраст (10,7%). Общия брой на лицата с трайни увреждания е 3748, от тях деца 163 (4,3%).</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Априлци са разкрити 3 социални услуги, който са на територията на гр. Априлци. Общият капацитет на социалните услуги е за 63 потребители, в т.ч. 13 асистентска подкрепа.</w:t>
      </w:r>
    </w:p>
    <w:tbl>
      <w:tblPr/>
      <w:tblGrid>
        <w:gridCol w:w="2830"/>
        <w:gridCol w:w="2718"/>
        <w:gridCol w:w="1756"/>
        <w:gridCol w:w="1756"/>
      </w:tblGrid>
      <w:tr>
        <w:trPr>
          <w:trHeight w:val="1" w:hRule="atLeast"/>
          <w:jc w:val="left"/>
        </w:trPr>
        <w:tc>
          <w:tcPr>
            <w:tcW w:w="283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71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175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175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28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71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630" w:leader="none"/>
                <w:tab w:val="center" w:pos="717" w:leader="none"/>
              </w:tabs>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8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71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7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7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Априлци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Априлци е 11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 </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Априлци,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Априлци, от други общини е 24.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8"/>
        <w:gridCol w:w="4512"/>
      </w:tblGrid>
      <w:tr>
        <w:trPr>
          <w:trHeight w:val="1" w:hRule="atLeast"/>
          <w:jc w:val="left"/>
        </w:trPr>
        <w:tc>
          <w:tcPr>
            <w:tcW w:w="454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45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Априлци за последните 5 години</w:t>
      </w:r>
    </w:p>
    <w:p>
      <w:pPr>
        <w:tabs>
          <w:tab w:val="left" w:pos="709" w:leader="none"/>
        </w:tabs>
        <w:suppressAutoHyphen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общината населението намалява и с ясно очертаваща се тенденция към застаряване. Възрастните хора живеят сами и в повечето случаи изпитват затруднения при самообслужване. Впечатление по отношение на демографското развитие на общината прави факта, че механичният прираст в последните две години е положителен.</w:t>
      </w:r>
    </w:p>
    <w:p>
      <w:pPr>
        <w:tabs>
          <w:tab w:val="left" w:pos="709" w:leader="none"/>
        </w:tabs>
        <w:suppressAutoHyphen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общината социалните услуги са обезпечени с необходимите служители и специалисти, притежаващи подходящи качества, квалификация и компетентности. Изградени са устойчиви екипи, не се наблюдава текучество на персонала. Работещите в социалните услуги се нуждаят от професионална подкрепа за преодоляване на проблемите, свързани с работата с потребителите. В социалните услуги, на територията на Община Априлци е налице тенденция за увеличаване на средната възраст на работещите и липса на млади специалисти, желаещи да се развиват в социалната сферата. Особено осезаема е липсата на медицински специалисти и общината има потребност от такива специалисти.</w:t>
      </w:r>
    </w:p>
    <w:p>
      <w:pPr>
        <w:keepNext w:val="true"/>
        <w:numPr>
          <w:ilvl w:val="0"/>
          <w:numId w:val="1261"/>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ЛЕТНИЦА</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Летница информацията за критериите по анализа е получена от НСИ; отдел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ГРАО“ на общината; анализ на стратегически документи на Община Летница в областта на социалните услуги за периода 2018 г. - 2022 г. Данни са предоставени от ДСП гр. Ловеч; ДБТ гр. Ловеч, доклади и анализи, касаещи тематичния обхват на анализа, включени в други стратегически проучвания и документи на областно и регионално ниво за периода 2018 г. - 2022 г. и касаещи развитието на социалните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Летница, към 31.12.2021 г. е 3 257 жители, от тях 699 деца до 18-годишна възраст (21,5%). Общия брой на лицата с трайни увреждания е 476, от тях деца 9 (1,9%).</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Летница са разкрити 4 социални услуги, на територията на гр. Летница са 2 услуги, а 2 са в с. Крушуна. Общият капацитет на социалните услуги е за 70 потребители, в т.ч. 15 асистентска подкрепа.</w:t>
      </w:r>
    </w:p>
    <w:tbl>
      <w:tblPr/>
      <w:tblGrid>
        <w:gridCol w:w="2426"/>
        <w:gridCol w:w="1781"/>
        <w:gridCol w:w="1941"/>
        <w:gridCol w:w="1948"/>
        <w:gridCol w:w="964"/>
      </w:tblGrid>
      <w:tr>
        <w:trPr>
          <w:trHeight w:val="1" w:hRule="atLeast"/>
          <w:jc w:val="left"/>
        </w:trPr>
        <w:tc>
          <w:tcPr>
            <w:tcW w:w="242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78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194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ЦНСТСХ</w:t>
            </w:r>
          </w:p>
        </w:tc>
        <w:tc>
          <w:tcPr>
            <w:tcW w:w="194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ЦСРИПЛ</w:t>
            </w:r>
          </w:p>
        </w:tc>
        <w:tc>
          <w:tcPr>
            <w:tcW w:w="96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242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78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630" w:leader="none"/>
                <w:tab w:val="center" w:pos="717" w:leader="none"/>
              </w:tabs>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9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9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42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78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9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19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9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bl>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Летница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чакащи, жители на община Летница за ползване на социални услуги.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Летница,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Летница, от други общини е 6.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8"/>
        <w:gridCol w:w="4512"/>
      </w:tblGrid>
      <w:tr>
        <w:trPr>
          <w:trHeight w:val="1" w:hRule="atLeast"/>
          <w:jc w:val="left"/>
        </w:trPr>
        <w:tc>
          <w:tcPr>
            <w:tcW w:w="454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ЦНСТСХ</w:t>
            </w:r>
          </w:p>
        </w:tc>
        <w:tc>
          <w:tcPr>
            <w:tcW w:w="45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bl>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Летница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демографско отношение се отчита тенденция към трайно намаляване на населението, вследствие на ниска раждаемост, застаряване и отрицателен естествен прираст. Анализирайки данните се установяват следните тенденции - по-силно изразен процес на застаряване на населението при жените, отколкото при мъжете, което се дължи на по-високата смъртност сред мъжете. Тенденцията към увеличаване на процента на възрастното население и намаляване на процента на младото население и населението в трудоспособна възраст. Остаряването на населението води до промени в неговата основна възрастова структура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разпределение на населението под, в и над трудоспособна възраст. Предвид данните за населението на територията на община Летница може да се направи извода, че е налице необходимост от разширяване спектъра на предоставяните социални услуги за възрастни хора и хора с увреждания.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 във община Летница се отчитат положителни стойности на механичния прираст на населението, за петгодишния период.</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на територията на община Летница са достъпни за жителите на територията, с постигната ефективност и качество. Към настоящият момент броят на назначените служители в социалните услуги осигурява тяхното оптимално функциониране и не се предвиждат промени</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 длъжностното щатно разписание. По данни на ДБТ няма регистрирани лица с медицинско образование и образование в областта на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Хуманитарните науки, регистрирани са като търсещи работа лица с предишен опит.</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Важно е да се отбележи, че през 2021 г. и 2022 г. на работа в социалната сфера са постъпили общо 10 безработни лица.</w:t>
      </w:r>
    </w:p>
    <w:p>
      <w:pPr>
        <w:keepNext w:val="true"/>
        <w:numPr>
          <w:ilvl w:val="0"/>
          <w:numId w:val="1293"/>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ЛОВЕЧ</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Ловеч информацията за населението по настоящ адрес е получена от НСИ, РЗИ, ДСП, Държавна психиатрична болница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Ловеч, вътрешна кореспонденция с отдел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Гражданска регистрация и административно обслужване“, отдел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Образование, култура, вероизповедание и туризъм“ и отдел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Общинска собственост“ в Община Ловеч и др. Използвани са данни и изводи от План за интегрирано развитие на община Ловеч за периода 2021-2027 година.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Ловеч, към 31.12.2021 г. е 45 517 жители, от тях 6708 деца до 18-годишна възраст (14,7%). Общия брой на лицата с трайни увреждания е 6381, от тях деца 190 (3,0%).</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Ловеч са разкрити 20 социални услуги, като всички са с местоположение в гр. Ловеч. Общият капацитет на социалните услуги е за 554 потребители, в т.ч. 163 асистентска подкрепа.</w:t>
      </w:r>
    </w:p>
    <w:tbl>
      <w:tblPr/>
      <w:tblGrid>
        <w:gridCol w:w="1736"/>
        <w:gridCol w:w="1513"/>
        <w:gridCol w:w="1705"/>
        <w:gridCol w:w="1551"/>
        <w:gridCol w:w="1480"/>
        <w:gridCol w:w="1075"/>
      </w:tblGrid>
      <w:tr>
        <w:trPr>
          <w:trHeight w:val="1" w:hRule="atLeast"/>
          <w:jc w:val="left"/>
        </w:trPr>
        <w:tc>
          <w:tcPr>
            <w:tcW w:w="173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51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170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ДЦПДУТС</w:t>
            </w:r>
          </w:p>
        </w:tc>
        <w:tc>
          <w:tcPr>
            <w:tcW w:w="155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148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w:t>
            </w:r>
          </w:p>
        </w:tc>
        <w:tc>
          <w:tcPr>
            <w:tcW w:w="107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17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5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630" w:leader="none"/>
                <w:tab w:val="center" w:pos="717" w:leader="none"/>
              </w:tabs>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630" w:leader="none"/>
                <w:tab w:val="center" w:pos="717" w:leader="none"/>
              </w:tabs>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630" w:leader="none"/>
                <w:tab w:val="center" w:pos="717" w:leader="none"/>
              </w:tabs>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0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7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5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46</w:t>
            </w:r>
          </w:p>
        </w:tc>
        <w:tc>
          <w:tcPr>
            <w:tcW w:w="17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5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c>
          <w:tcPr>
            <w:tcW w:w="14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c>
          <w:tcPr>
            <w:tcW w:w="10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163</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716"/>
        <w:gridCol w:w="839"/>
        <w:gridCol w:w="1538"/>
        <w:gridCol w:w="1611"/>
        <w:gridCol w:w="1571"/>
        <w:gridCol w:w="1785"/>
      </w:tblGrid>
      <w:tr>
        <w:trPr>
          <w:trHeight w:val="1" w:hRule="atLeast"/>
          <w:jc w:val="left"/>
        </w:trPr>
        <w:tc>
          <w:tcPr>
            <w:tcW w:w="171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83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153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161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157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ЦНСТПЛД</w:t>
            </w:r>
          </w:p>
        </w:tc>
        <w:tc>
          <w:tcPr>
            <w:tcW w:w="178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r>
      <w:tr>
        <w:trPr>
          <w:trHeight w:val="1" w:hRule="atLeast"/>
          <w:jc w:val="left"/>
        </w:trPr>
        <w:tc>
          <w:tcPr>
            <w:tcW w:w="171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8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630" w:leader="none"/>
                <w:tab w:val="center" w:pos="717" w:leader="none"/>
              </w:tabs>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630" w:leader="none"/>
                <w:tab w:val="center" w:pos="717" w:leader="none"/>
              </w:tabs>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61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630" w:leader="none"/>
                <w:tab w:val="center" w:pos="717" w:leader="none"/>
              </w:tabs>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71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Брой </w:t>
            </w:r>
          </w:p>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потребители</w:t>
            </w:r>
          </w:p>
        </w:tc>
        <w:tc>
          <w:tcPr>
            <w:tcW w:w="8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100</w:t>
            </w:r>
          </w:p>
        </w:tc>
        <w:tc>
          <w:tcPr>
            <w:tcW w:w="15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w:t>
            </w:r>
          </w:p>
        </w:tc>
        <w:tc>
          <w:tcPr>
            <w:tcW w:w="161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28</w:t>
            </w:r>
          </w:p>
        </w:tc>
        <w:tc>
          <w:tcPr>
            <w:tcW w:w="1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7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732"/>
        <w:gridCol w:w="866"/>
        <w:gridCol w:w="1180"/>
        <w:gridCol w:w="1364"/>
        <w:gridCol w:w="1223"/>
        <w:gridCol w:w="1370"/>
        <w:gridCol w:w="1325"/>
      </w:tblGrid>
      <w:tr>
        <w:trPr>
          <w:trHeight w:val="1" w:hRule="atLeast"/>
          <w:jc w:val="left"/>
        </w:trPr>
        <w:tc>
          <w:tcPr>
            <w:tcW w:w="173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86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ПЖ</w:t>
            </w:r>
          </w:p>
        </w:tc>
        <w:tc>
          <w:tcPr>
            <w:tcW w:w="118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НЖ</w:t>
            </w:r>
          </w:p>
        </w:tc>
        <w:tc>
          <w:tcPr>
            <w:tcW w:w="136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ЗЖЛПР</w:t>
            </w:r>
          </w:p>
        </w:tc>
        <w:tc>
          <w:tcPr>
            <w:tcW w:w="122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137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ЗЖЛФУ</w:t>
            </w:r>
          </w:p>
        </w:tc>
        <w:tc>
          <w:tcPr>
            <w:tcW w:w="132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r>
      <w:tr>
        <w:trPr>
          <w:trHeight w:val="1" w:hRule="atLeast"/>
          <w:jc w:val="left"/>
        </w:trPr>
        <w:tc>
          <w:tcPr>
            <w:tcW w:w="173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8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630" w:leader="none"/>
                <w:tab w:val="center" w:pos="717" w:leader="none"/>
              </w:tabs>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630" w:leader="none"/>
                <w:tab w:val="center" w:pos="717" w:leader="none"/>
              </w:tabs>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36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630" w:leader="none"/>
                <w:tab w:val="center" w:pos="717" w:leader="none"/>
              </w:tabs>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3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3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73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8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1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136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2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13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c>
          <w:tcPr>
            <w:tcW w:w="13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Девет от държавно делегираните социални услуги са възложени за управление на външен доставчик, останалите се предоставят от Община Ловеч.</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Ловеч</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Ловеч е 289 лица. По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ЦНСТПЛД</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26</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ЦНСТПУИ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79</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НЖ</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ЗЖЛПР</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150</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26</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ЗЖЛФУ</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Ловеч,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Ловеч, от други общини е 83.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8"/>
        <w:gridCol w:w="4512"/>
      </w:tblGrid>
      <w:tr>
        <w:trPr>
          <w:trHeight w:val="1" w:hRule="atLeast"/>
          <w:jc w:val="left"/>
        </w:trPr>
        <w:tc>
          <w:tcPr>
            <w:tcW w:w="454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ДЦПДУТС</w:t>
            </w:r>
          </w:p>
        </w:tc>
        <w:tc>
          <w:tcPr>
            <w:tcW w:w="45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45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45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45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45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45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ЦНСТПУИ</w:t>
            </w:r>
          </w:p>
        </w:tc>
        <w:tc>
          <w:tcPr>
            <w:tcW w:w="45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ЦНСТПЛД</w:t>
            </w:r>
          </w:p>
        </w:tc>
        <w:tc>
          <w:tcPr>
            <w:tcW w:w="45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ПЖ</w:t>
            </w:r>
          </w:p>
        </w:tc>
        <w:tc>
          <w:tcPr>
            <w:tcW w:w="45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ЗЖЛПР</w:t>
            </w:r>
          </w:p>
        </w:tc>
        <w:tc>
          <w:tcPr>
            <w:tcW w:w="45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Ловеч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Динамиката в броя на населението в общината показва тенденция на намаляване. Причините за трайното намаляване на населението са ниската раждаемост, високата смъртност и миграцията извън територията на общината. Застаряването оказва влияние и върху коефициента на естествен прираст на населението, който е отрицателен. Броят на младите хора и на хората в трудоспособна възраст в общината намалява, а възрастовата структура на населението се влошава. Развитието на демографските процеси и измененията в структурите на населението през последните две десетилетия се отнасят към най-важните социални, икономически, регионални и политически предизвикателства в развитието на страната. Значението на протичащите демографски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процеси се подсилва от обстоятелството, че те оказват силно влияние върху основните системи на обществото: икономическа, образователна, здравноосигурителна и системата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 социална защита</w:t>
      </w:r>
    </w:p>
    <w:p>
      <w:pPr>
        <w:spacing w:before="0" w:after="120" w:line="240"/>
        <w:ind w:right="-22"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са обезпечени с необходимите служители и специалисти, притежаващи подходящи качества, квалификация и компетентност. Изградени са устойчиви екипи, не се наблюдава текучество на персонала и трайно незаети длъжности. В социалните услуги, предоставяни на територията на община Ловеч е налице тенденция за увеличаване на средната възраст на работещите и липса на млади специалисти, желаещи да се развиват в сферата. Отчита се, че емоционалното натоварване оказва най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силно влияние върху работата на персонала, следвано от трудности при работа с потребители. Работещите в социалните услуги се нуждаят от непрекъсната професионална подкрепа за преодоляване на проблемите, свързани с работата с потребителите и техните близки. В последните години се наблюдава ниска степен на мотивация в резултат на ниските възнаграждения и високата ангажираност в сферата в сравнение с други сектори, например образование. </w:t>
      </w:r>
    </w:p>
    <w:p>
      <w:pPr>
        <w:keepNext w:val="true"/>
        <w:numPr>
          <w:ilvl w:val="0"/>
          <w:numId w:val="1391"/>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ЛУКОВИТ</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Луковит информацията за населението по настоящ адрес е получена от НСИ, ДСП, ГРАО, ДБТ, План за интегрирано развитие на община Луковит за периода 2021-2027г., Държавните психиатрични болници  в с. Карлуково, община Луковит и гр. Ловеч.</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Луковит, към 31.12.2021 г. е 16039 жители, от тях 3369 деца до 18-годишна възраст (21,0%). Общия брой на лицата с трайни увреждания е 1937, от тях деца 74 (3,8%).</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Луковит са разкрити 7 социални услуги, който са на територията на гр. Луковит. Общият капацитет на социалните услуги е за 164 потребители, в т.ч. 50 асистентска подкрепа.</w:t>
      </w:r>
    </w:p>
    <w:tbl>
      <w:tblPr/>
      <w:tblGrid>
        <w:gridCol w:w="1588"/>
        <w:gridCol w:w="1113"/>
        <w:gridCol w:w="1448"/>
        <w:gridCol w:w="1350"/>
        <w:gridCol w:w="1464"/>
        <w:gridCol w:w="1119"/>
        <w:gridCol w:w="978"/>
      </w:tblGrid>
      <w:tr>
        <w:trPr>
          <w:trHeight w:val="1" w:hRule="atLeast"/>
          <w:jc w:val="left"/>
        </w:trPr>
        <w:tc>
          <w:tcPr>
            <w:tcW w:w="158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11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144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ЦСРИПЛУ</w:t>
            </w:r>
          </w:p>
        </w:tc>
        <w:tc>
          <w:tcPr>
            <w:tcW w:w="135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ЦОП/ОБЦ</w:t>
            </w:r>
          </w:p>
        </w:tc>
        <w:tc>
          <w:tcPr>
            <w:tcW w:w="146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111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ЗЖЛФУ</w:t>
            </w:r>
          </w:p>
        </w:tc>
        <w:tc>
          <w:tcPr>
            <w:tcW w:w="97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15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11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630" w:leader="none"/>
                <w:tab w:val="center" w:pos="717" w:leader="none"/>
              </w:tabs>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3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5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11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4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3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28</w:t>
            </w:r>
          </w:p>
        </w:tc>
        <w:tc>
          <w:tcPr>
            <w:tcW w:w="1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9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263" w:leader="none"/>
                <w:tab w:val="center" w:pos="391" w:leader="none"/>
              </w:tabs>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50</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Луковит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Луковит е 16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ЗЖЛФУ</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Луковит,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Луковит, от други общини е 26.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tbl>
      <w:tblPr/>
      <w:tblGrid>
        <w:gridCol w:w="4548"/>
        <w:gridCol w:w="4512"/>
      </w:tblGrid>
      <w:tr>
        <w:trPr>
          <w:trHeight w:val="1" w:hRule="atLeast"/>
          <w:jc w:val="left"/>
        </w:trPr>
        <w:tc>
          <w:tcPr>
            <w:tcW w:w="454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ЗЖЛФУ</w:t>
            </w:r>
          </w:p>
        </w:tc>
        <w:tc>
          <w:tcPr>
            <w:tcW w:w="45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45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r>
    </w:tbl>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Луковит за последните 5 години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284"/>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Наблюдава се устойчива тенденция за намаляване броя на населението в общината през последните години, но тя е по-слаба в сравнение с областните показатели. Устойчивата тенденция на обезлюдяване на общината е трудно да се преодолее и са необходими още по-целенасочени усилия за овладяване на този процес. Процесите по намаляване на раждаемостта на страната, както и за област Ловеч, не са толкова силно изразени в община Луковит. Това по-скоро се дължи на общото намаляване на населението в общината, което влияе и на стойностите на показателя. Очертава се и лека тенденция на увеличаване на смъртността, което е функция от застаряването на населението. Високите нива на смъртност се определят от ниския стандарт на живот, влошаването на здравното обслужване, застаряването на населението, което е характерно за страната, района и областта. За възрастните, и особено за самотно живеещите възрастни над 65-годишна възраст, поради зависимостта от социалните плащания и липсата на подкрепа от страна на близки и роднини, рискът от изпадане в бедност или социално изключване е голям.</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настоящият момент броят на назначените служители в социалните услуги осигурява тяхното оптимално функциониране и не се предвиждат промени</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 длъжностното щатно разписание. Във връзка с прилагане на Наредбата за качество на социалните услуги, щатните разписания на СУ ще бъдат трансформирани, съобразно изискванията за осигуряване на основни специалисти, препоръчителни, пряко ангажирани с обслужването на потребителите и подпомагащи функционирането на СУ с коефициент определящ броя служители.</w:t>
      </w:r>
    </w:p>
    <w:p>
      <w:pPr>
        <w:keepNext w:val="true"/>
        <w:numPr>
          <w:ilvl w:val="0"/>
          <w:numId w:val="1435"/>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ТЕТЕВЕН</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Тетевен информацията за необходимите данни по критериите за изготвяне на анализа е получена от НСИ, ДСП гр. Тетевен, отдел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ГРАО“, ДБТ, гр. Тетевен, РЗИ Ловеч, МБАЛ-Тетевен, Държавна психиатрична болница гр. Ловеч и др.</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Тетевен, към 31.12.2021 г. е 18521 жители, от тях 3502 деца до 18-годишна възраст (18,9%). Общия брой на лицата с трайни увреждания е 3089, от тях деца 174 (5,6%).</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Тетевен са разкрити 6 социални услуги, като 5 са ситуирани в гр. Тетевен и една в с. Гложене. Общият капацитет на социалните услуги е за 187 потребители, в т.ч. 59 асистентска подкрепа.</w:t>
      </w:r>
    </w:p>
    <w:tbl>
      <w:tblPr/>
      <w:tblGrid>
        <w:gridCol w:w="1624"/>
        <w:gridCol w:w="1161"/>
        <w:gridCol w:w="1495"/>
        <w:gridCol w:w="1134"/>
        <w:gridCol w:w="1406"/>
        <w:gridCol w:w="1506"/>
        <w:gridCol w:w="734"/>
      </w:tblGrid>
      <w:tr>
        <w:trPr>
          <w:trHeight w:val="1" w:hRule="atLeast"/>
          <w:jc w:val="left"/>
        </w:trPr>
        <w:tc>
          <w:tcPr>
            <w:tcW w:w="162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16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149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ДЦДМУСГ</w:t>
            </w:r>
          </w:p>
        </w:tc>
        <w:tc>
          <w:tcPr>
            <w:tcW w:w="113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140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ЦОП/ОБЦ</w:t>
            </w:r>
          </w:p>
        </w:tc>
        <w:tc>
          <w:tcPr>
            <w:tcW w:w="150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ЦНСТПУИ</w:t>
            </w:r>
          </w:p>
        </w:tc>
        <w:tc>
          <w:tcPr>
            <w:tcW w:w="73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162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16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630" w:leader="none"/>
                <w:tab w:val="center" w:pos="717" w:leader="none"/>
              </w:tabs>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7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62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16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36</w:t>
            </w:r>
          </w:p>
        </w:tc>
        <w:tc>
          <w:tcPr>
            <w:tcW w:w="14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c>
          <w:tcPr>
            <w:tcW w:w="14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60</w:t>
            </w:r>
          </w:p>
        </w:tc>
        <w:tc>
          <w:tcPr>
            <w:tcW w:w="1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c>
          <w:tcPr>
            <w:tcW w:w="7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263" w:leader="none"/>
                <w:tab w:val="center" w:pos="391" w:leader="none"/>
              </w:tabs>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59</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Тетевен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Тетевен е 2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ЦНСТПУИ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Тетевен,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Тетевен, от други общини е 11.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8"/>
        <w:gridCol w:w="4512"/>
      </w:tblGrid>
      <w:tr>
        <w:trPr>
          <w:trHeight w:val="1" w:hRule="atLeast"/>
          <w:jc w:val="left"/>
        </w:trPr>
        <w:tc>
          <w:tcPr>
            <w:tcW w:w="454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45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ЦНСТПУИ</w:t>
            </w:r>
          </w:p>
        </w:tc>
        <w:tc>
          <w:tcPr>
            <w:tcW w:w="45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Тетевен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Демографска ситуация в община Тетевен се характеризира с продължаващо намаляване и застаряване на населението, ниски нива на раждаемост и високи нива на смъртност. Процесът на застаряване е по-силно изразен сред жените. </w:t>
      </w:r>
      <w:r>
        <w:rPr>
          <w:rFonts w:ascii="Times New Roman" w:hAnsi="Times New Roman" w:cs="Times New Roman" w:eastAsia="Times New Roman"/>
          <w:color w:val="auto"/>
          <w:spacing w:val="0"/>
          <w:position w:val="0"/>
          <w:sz w:val="24"/>
          <w:shd w:fill="auto" w:val="clear"/>
        </w:rPr>
        <w:t xml:space="preserve">Населението по населени места в общината не е равномерно разпределено, като дисбалансът в териториалното разпределение се задълбочава.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 влошаването на възрастовата структура, съществен принос имат мащабните емиграционни процеси предимно сред младите възрастови групи. </w:t>
      </w:r>
      <w:r>
        <w:rPr>
          <w:rFonts w:ascii="Times New Roman" w:hAnsi="Times New Roman" w:cs="Times New Roman" w:eastAsia="Times New Roman"/>
          <w:color w:val="000000"/>
          <w:spacing w:val="0"/>
          <w:position w:val="0"/>
          <w:sz w:val="24"/>
          <w:shd w:fill="auto" w:val="clear"/>
        </w:rPr>
        <w:t xml:space="preserve">Предвид нарастване броя на самотните хора в над трудоспособна възраст и лицата с трайни увреждания, както и лицата, живеещи в отдалечени труднодостъпни райони, в община Тетевен се създава реална потребност от услуги за възрастни хора в невъзможност за самообслужване, живеещи в домашна среда.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социалните услуги, работят специализирани екипи от специалисти по различни направления. Незаети са длъжностите: медицинска сестра, консултант по хранене, пом. готвач, социален работник, хигиенист. Към момента услугите разполагат с квалифицирани специалисти, които заемат други длъжности и могат да бъдат преназначени. По данни на ДБТ, няма регистрирани търсещи работа лица с медицинско образование, регистрирани са 7 специалисти с хуманитарен профил и 58 лица с опит като лични и социални асистенти.</w:t>
      </w:r>
    </w:p>
    <w:p>
      <w:pPr>
        <w:keepNext w:val="true"/>
        <w:numPr>
          <w:ilvl w:val="0"/>
          <w:numId w:val="1476"/>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ТРОЯН</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Троян информацията за по критериите е получена от НСИ, ДСП гр. Троян, ДБТ, статистически данни от изготвените планови и отчетни документи на общината, кметовете на населените места и ръководителите на социални услуги и др.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Троян, към 31.12.2021 г. е 29 955 жители, от тях 3961 деца до 18-годишна възраст (13,2%). Общия брой на лицата с трайни увреждания е 3764, от тях деца 87 (2,3%).</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Троян са разкрити 6 социални услуги, като 2 са ситуирани в гр. Троян, две в с Добродан и две в с. Дълбок дол. Общият капацитет на социалните услуги е за 189 потребители, в т.ч. 107 асистентска подкрепа.</w:t>
      </w:r>
    </w:p>
    <w:tbl>
      <w:tblPr/>
      <w:tblGrid>
        <w:gridCol w:w="1664"/>
        <w:gridCol w:w="1186"/>
        <w:gridCol w:w="1115"/>
        <w:gridCol w:w="1522"/>
        <w:gridCol w:w="1464"/>
        <w:gridCol w:w="1386"/>
        <w:gridCol w:w="723"/>
      </w:tblGrid>
      <w:tr>
        <w:trPr>
          <w:trHeight w:val="1" w:hRule="atLeast"/>
          <w:jc w:val="left"/>
        </w:trPr>
        <w:tc>
          <w:tcPr>
            <w:tcW w:w="166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18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111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152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ЦНСТПЛД</w:t>
            </w:r>
          </w:p>
        </w:tc>
        <w:tc>
          <w:tcPr>
            <w:tcW w:w="146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ЗЖЛФУ</w:t>
            </w:r>
          </w:p>
        </w:tc>
        <w:tc>
          <w:tcPr>
            <w:tcW w:w="138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72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166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1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2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630" w:leader="none"/>
                <w:tab w:val="center" w:pos="717" w:leader="none"/>
              </w:tabs>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3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7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66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1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11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52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c>
          <w:tcPr>
            <w:tcW w:w="1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13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28</w:t>
            </w:r>
          </w:p>
        </w:tc>
        <w:tc>
          <w:tcPr>
            <w:tcW w:w="7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263" w:leader="none"/>
                <w:tab w:val="center" w:pos="391" w:leader="none"/>
              </w:tabs>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107</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Троян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Троян е 19 лица. 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ЦНСТПЛД</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Троян,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Троян, от други общини е 21.</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8"/>
        <w:gridCol w:w="4512"/>
      </w:tblGrid>
      <w:tr>
        <w:trPr>
          <w:trHeight w:val="1" w:hRule="atLeast"/>
          <w:jc w:val="left"/>
        </w:trPr>
        <w:tc>
          <w:tcPr>
            <w:tcW w:w="454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45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ЦНСТПЛД</w:t>
            </w:r>
          </w:p>
        </w:tc>
        <w:tc>
          <w:tcPr>
            <w:tcW w:w="45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ЗЖЛФУ</w:t>
            </w:r>
          </w:p>
        </w:tc>
        <w:tc>
          <w:tcPr>
            <w:tcW w:w="45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45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Троян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Данните от демографското развитие на общината през последните 5 години показват тенденция на намаляване на общия брой на населението на общината, вследствие на ниската раждаемост и увеличен брой на смъртните случаи. COVID-кризата е основната причина за увеличената смъртност на населението през 2021 г. и понижаване на броя на ражданията. Същевременно много от специалистите, работещи в сфери с възможност за дистанционна работа, са избрали за свое местоживеене общината, поради подходящите климатични и икономически условия и това е вероятната причина и за увеличения почти двойно през 2020 г. брой на заселените лица в общината. Броят на ражданията намаляват с всяка година. С цел повишаване на раждаемостта общината осигурява със собствени бюджетни средства финансов стимул за всяко новородено, като от началото на 2023 г. неговият размер е 450 лв.</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Ръководството на социалните услуги се осъществява от ръководители или чрез вменяване на функции в длъжностните характеристики на основните специалисти, осъществяващи дейности по предоставяне на социални услуги за услугите с по-малък капацитет. Заети са длъжностите за основни специалисти, като наетият медицински персонал са пенсионери, а останалите са специалисти с малък или без опит при тяхното наемане. По-голямата част от услугите разполагат с необходимия брой за обслужване на потребителите. При тази група служители се наблюдава необходимост от повече обучение и поддържане нивото на квалификация, както и супервизия. В услугите с по-малък капацитет специалистите, осъществяващи дейности по предоставяне, подпомагат потребителите при тяхното обслужване. В резултат на анализа е установено, че числеността на наетите служители, съобразно определените коефициенти в стандартите за качество в голяма степен съответстват на утвърдените щатни разписания към момента с изключение на ЦОП и ДСХ, където има наети повече специалисти. Квалификацията на наетият персонал в съществуващите услуги съответства на изискванията за длъжността. При социалните услуги с по-малък капацитет е трудно да се постигнат изискванията за брой и състав на служителите.</w:t>
      </w:r>
    </w:p>
    <w:p>
      <w:pPr>
        <w:keepNext w:val="true"/>
        <w:numPr>
          <w:ilvl w:val="0"/>
          <w:numId w:val="1522"/>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УГЪРЧИН</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Угърчин информацията по критериите за анализа е получена от НСИ, ДСП, ДБТ, статистически данни от анализи, доклади, стратегически документи на местно ниво (стратегии, дългосрочни програми и планове за развитие и други); РУ на МОН, РЗИ, кметовете на населените места и доставчици на социални услуги и др.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Угърчин, към 31.12.2021 г. е 5820 жители, от тях 1231 деца до 18-годишна възраст (21,2%). Общия брой на лицата с трайни увреждания е 734, от тях деца 65 (8,9%).</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Угърчин са разкрити 3 социални услуги, който са ситуирани в общинския център. Общият капацитет на социалните услуги е за 78 потребители, в т.ч. 23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001"/>
        <w:gridCol w:w="2408"/>
        <w:gridCol w:w="2372"/>
        <w:gridCol w:w="1279"/>
      </w:tblGrid>
      <w:tr>
        <w:trPr>
          <w:trHeight w:val="1" w:hRule="atLeast"/>
          <w:jc w:val="left"/>
        </w:trPr>
        <w:tc>
          <w:tcPr>
            <w:tcW w:w="300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40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ЦСРИПЛ</w:t>
            </w:r>
          </w:p>
        </w:tc>
        <w:tc>
          <w:tcPr>
            <w:tcW w:w="237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127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300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4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3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00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4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23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c>
          <w:tcPr>
            <w:tcW w:w="12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Угърчин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Угърчин е 5 лица.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Угърчин,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Угърчин, от други общини е 22. </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tbl>
      <w:tblPr/>
      <w:tblGrid>
        <w:gridCol w:w="4548"/>
        <w:gridCol w:w="4512"/>
      </w:tblGrid>
      <w:tr>
        <w:trPr>
          <w:trHeight w:val="1" w:hRule="atLeast"/>
          <w:jc w:val="left"/>
        </w:trPr>
        <w:tc>
          <w:tcPr>
            <w:tcW w:w="454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45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Угърчин за последните 5 години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Угърчин е една от най-слабо заселените общини на територията на Р. България. Както и във всички останали общини се наблюдава отрицателен естествен прираст. По отношение на механичния прираст с изключение на 2020 г. също се наблюдава отрицателен прираст.</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на територията на общината са обезпечени с необходимите служители и специалисти, притежаващи подходящи качества, квалификация и компетентности. Изградени са устойчиви екипи, не се наблюдава текучество на персонала.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социалните услуги, предоставяни в Община Угърчин е налице тенденция за увеличаване на средната възраст на работещите и липса на млади специалисти, желаещи да се развиват в сферата. Особено осезаема е липсата на медицински персонал - 80% от медицинския персонал е в пенсионна възраст. Отчита се, че емоционалното натоварване оказва най-силно влияние върху работата на персонала, следвано от трудности при работата с потребителите. Работещите в социалните услуги се нуждаят от професионална подкрепа за преодоляване на проблемите, свързани с работата с потребителите. Не се осигуряват достатъчно на брой обучения и супервизии, поради липсата на достатъчно финансови средства и високата ангажираност на служителите.</w:t>
      </w:r>
    </w:p>
    <w:p>
      <w:pPr>
        <w:keepNext w:val="true"/>
        <w:numPr>
          <w:ilvl w:val="0"/>
          <w:numId w:val="1557"/>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ЯБЛАНИЦА</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Ябланица информацията за критериите е получена от НСИ, ДСП, ДБТ, статистически данни от анализи, доклади, стратегически документи на местно ниво (стратегии, дългосрочни програми и планове за развитие и други); Местна комисия за борба с противообществените прояви на малолетни и непълнолетни, доставчици на социални услуги и др.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Ябланица, към 31.12.2021 г. е 6716 жители, от тях 1573 деца до 18-годишна възраст (23,4%). Общия брой на лицата с трайни увреждания е 604, от тях деца 54 (8,9%).</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Ябланица е разкрита само социалната услуга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Асистентска подкрепа с капацитет 19.</w:t>
      </w: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tbl>
      <w:tblPr/>
      <w:tblGrid>
        <w:gridCol w:w="6353"/>
        <w:gridCol w:w="2707"/>
      </w:tblGrid>
      <w:tr>
        <w:trPr>
          <w:trHeight w:val="1" w:hRule="atLeast"/>
          <w:jc w:val="left"/>
        </w:trPr>
        <w:tc>
          <w:tcPr>
            <w:tcW w:w="635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70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635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7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635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7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Ябланица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момента на разработване на анализа няма желаещите да ползват социални услуги на територията на община Ябланица.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Ябланица за последните 5 години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Населението в общината трайно намалява, висок е броят на лицата в над трудоспособна възраст и на лицата с увреждания. Не са предоставени данни за заселени и изселени в общината за анализирания период.</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Ябланица,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лица, които ползват социални услуги на територията на община Ябланица, от други общини, единствената социална услуга е Асистентска подкрепа.</w:t>
      </w:r>
    </w:p>
    <w:p>
      <w:pPr>
        <w:keepNext w:val="true"/>
        <w:numPr>
          <w:ilvl w:val="0"/>
          <w:numId w:val="1576"/>
        </w:numPr>
        <w:tabs>
          <w:tab w:val="left" w:pos="718" w:leader="none"/>
        </w:tabs>
        <w:spacing w:before="360" w:after="120" w:line="240"/>
        <w:ind w:right="0" w:left="718"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АНАЛИЗ НА ПОТРЕБНОСТИТЕ В ОБЛАСТ ЛОВЕЧ (обобщено)</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обобщени за област Ловеч по общини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общините от област Ловеч информацията за населението по критериите съгласно Наредбата за планиране на социалните услуги е получена от НСИ, информационна система ГРАО на общините, РЗИ, ДСП, ДБТ, Държавните психиатрични болници в с. Карлуково и гр. Ловеч, кметове и кметски наместници, от Местните комисии за борба срещу противообществените прояви на малолетни и непълнолетни, училища, лечебни заведения, социални услуги, стратегически планове и др.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област Ловеч, към 31.12.2021 г. е 128 264 жители, от тях 21 304 деца до 18-годишна възраст (16,6%). Общия брой на лицата с трайни увреждания е 17 369, от тях деца 658 (3,8%).</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областта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брои на социалните услуги на територията на област Ловеч е 50 с 1 324 потребители. Броят на социалните услуги за пълнолетни лица е 34, с 878 потребители. Социалните услуги за деца са 16 с 446 потребители.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за пълнолетни лица са 34 с 878 потребители </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за деца са 16 със 446 потребители.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графиките е видно, че на територията на областта преобладават услугите за резидентна грижа (ЦНСТ, ЗЖ, ПЖ, НЖ) 20 услуги за 199 потребители, консултативните услуги (ДЦ, ЦСРИ, ЦОП)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18 </w:t>
      </w:r>
      <w:r>
        <w:rPr>
          <w:rFonts w:ascii="Times New Roman" w:hAnsi="Times New Roman" w:cs="Times New Roman" w:eastAsia="Times New Roman"/>
          <w:color w:val="auto"/>
          <w:spacing w:val="0"/>
          <w:position w:val="0"/>
          <w:sz w:val="24"/>
          <w:shd w:fill="auto" w:val="clear"/>
        </w:rPr>
        <w:t xml:space="preserve">услуги за 548 потребители, услугите в домашна среда (АП)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8 </w:t>
      </w:r>
      <w:r>
        <w:rPr>
          <w:rFonts w:ascii="Times New Roman" w:hAnsi="Times New Roman" w:cs="Times New Roman" w:eastAsia="Times New Roman"/>
          <w:color w:val="auto"/>
          <w:spacing w:val="0"/>
          <w:position w:val="0"/>
          <w:sz w:val="24"/>
          <w:shd w:fill="auto" w:val="clear"/>
        </w:rPr>
        <w:t xml:space="preserve">услуги за 449 потребители, услугите в специализирани институции за пълнолетни лица (ДСХ) 4 услуги за 128 потребители.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следващата графика е представено сравнение между функциониращите към момента социални услуги, финансирани от държавния бюджет, съотнесени към социалните услуги по чл. 15 от ЗСУ, максималния брой потребители, съгласно критериите по Наредбата за планиране на социалните услуги и поетите ангажименти от общините в областта.</w:t>
      </w:r>
    </w:p>
    <w:p>
      <w:pPr>
        <w:spacing w:before="0" w:after="6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област Ловеч</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037"/>
        <w:gridCol w:w="5023"/>
      </w:tblGrid>
      <w:tr>
        <w:trPr>
          <w:trHeight w:val="1" w:hRule="atLeast"/>
          <w:jc w:val="left"/>
        </w:trPr>
        <w:tc>
          <w:tcPr>
            <w:tcW w:w="403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02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27</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ЗЖЛПР</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150</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ЗЖЛУИ</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26</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ЗЖЛФУ</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НЖ</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ЦНСТДМУ</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ЦНСТПЛД</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36</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ЦНСТПЛУИ</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81</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ДЦПЛУ</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ЦОП</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ЦСРИПЛ</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Общо</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342</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Общо 342 лица са включени в списъците на чакащите за ползване на социални услуги в териториалния обхват на област Ловеч. Най-голям е броят на желаещите да ползват ЗЖЛПР, ЦНСТПЛУИ, ЦНСТПЛД и ЗЖЛУИ.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област Ловеч, различна от общината по настоящ адрес</w:t>
      </w:r>
    </w:p>
    <w:p>
      <w:pPr>
        <w:spacing w:before="0" w:after="0" w:line="259"/>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област Ловеч, различна от общината по настоящ адрес е 193. Най-голям е техният брой в социалните услуги на територията на общините Ловеч, Луковит, Априлци, Угърчин, Троян, следвани от общините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Тетевен и Летница. </w:t>
      </w:r>
    </w:p>
    <w:p>
      <w:pPr>
        <w:spacing w:before="0" w:after="60" w:line="240"/>
        <w:ind w:right="0" w:left="0" w:firstLine="709"/>
        <w:jc w:val="both"/>
        <w:rPr>
          <w:rFonts w:ascii="Times New Roman" w:hAnsi="Times New Roman" w:cs="Times New Roman" w:eastAsia="Times New Roman"/>
          <w:color w:val="auto"/>
          <w:spacing w:val="0"/>
          <w:position w:val="0"/>
          <w:sz w:val="24"/>
          <w:shd w:fill="auto" w:val="clear"/>
        </w:rPr>
      </w:pPr>
    </w:p>
    <w:tbl>
      <w:tblPr/>
      <w:tblGrid>
        <w:gridCol w:w="4548"/>
        <w:gridCol w:w="4512"/>
      </w:tblGrid>
      <w:tr>
        <w:trPr>
          <w:trHeight w:val="1" w:hRule="atLeast"/>
          <w:jc w:val="left"/>
        </w:trPr>
        <w:tc>
          <w:tcPr>
            <w:tcW w:w="454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45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55</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45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ДЦПДУТС</w:t>
            </w:r>
          </w:p>
        </w:tc>
        <w:tc>
          <w:tcPr>
            <w:tcW w:w="45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45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ЗЖЛПР</w:t>
            </w:r>
          </w:p>
        </w:tc>
        <w:tc>
          <w:tcPr>
            <w:tcW w:w="45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ЗЖЛФУ</w:t>
            </w:r>
          </w:p>
        </w:tc>
        <w:tc>
          <w:tcPr>
            <w:tcW w:w="45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ПЖ</w:t>
            </w:r>
          </w:p>
        </w:tc>
        <w:tc>
          <w:tcPr>
            <w:tcW w:w="45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45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45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38</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ЦНСТПЛД</w:t>
            </w:r>
          </w:p>
        </w:tc>
        <w:tc>
          <w:tcPr>
            <w:tcW w:w="45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ЦНСТПУИ</w:t>
            </w:r>
          </w:p>
        </w:tc>
        <w:tc>
          <w:tcPr>
            <w:tcW w:w="45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ЦНСТСХ</w:t>
            </w:r>
          </w:p>
        </w:tc>
        <w:tc>
          <w:tcPr>
            <w:tcW w:w="45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45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bl>
    <w:p>
      <w:pPr>
        <w:spacing w:before="0" w:after="6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община Ябланица се предоставя единствено Асистентска подкрепа и потребителите са от съответната община.</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област Ловеч за последните 5 години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Анализа на данните на демографското развитие в област Ловеч за периода 2021 г.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2017 </w:t>
      </w:r>
      <w:r>
        <w:rPr>
          <w:rFonts w:ascii="Times New Roman" w:hAnsi="Times New Roman" w:cs="Times New Roman" w:eastAsia="Times New Roman"/>
          <w:color w:val="auto"/>
          <w:spacing w:val="0"/>
          <w:position w:val="0"/>
          <w:sz w:val="24"/>
          <w:shd w:fill="auto" w:val="clear"/>
        </w:rPr>
        <w:t xml:space="preserve">г. показва тенденция към намаление на броя на населението във всички общини. Важно е да се отбележи, че намалението е незначително.</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Във всички общини се отчита ниска раждаемост с тенденция към намаление, увеличаваща се смъртност в резултат на застаряване на населението и отрицателен естествен прираст. Прогресивно е намаляването на относителния дял на лицата в трудоспособна възраст. Голяма част от общините, отбелязват, че COVID-кризата е една от основните причини за увеличената смъртност на населението през 2021 г. и по-ниската раждаемост. По отношение на показателите за механичен прираст, впечатление прави тенденцията, че в някой от общините е положителен.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Високите нива на смъртност се определят от ниския стандарт на живот, влошаването на здравното обслужване, застаряването на населението, което е характерно за страната, района и областта. За възрастните, и особено за самотно живеещите възрастни над 65-годишна възраст, поради зависимостта от социалните плащания и липсата на подкрепа от страна на близки и роднини, рискът от изпадане в бедност или социално изключване е голям.</w:t>
      </w:r>
    </w:p>
    <w:p>
      <w:pPr>
        <w:spacing w:before="0" w:after="120" w:line="240"/>
        <w:ind w:right="-22"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Демографското развитие е социален приоритет с висока степен на значимост, изискващ максимална концентрация на усилията и провеждане на активна, целенасочена и последователна политика, както и обединение и координиране на действията на всички заинтересовани страни. В условия на демографски преход от режим на нарастване към режим на стабилизиране и остаряване, предизвикателството пред местните власти е да се намери т.н.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баланс на населението“, за постигането на който водещ е стремежът за повишаване качеството на живота и благосъстоянието на гражданите, с което неминуемо се гарантира и развитието в социален и икономически аспект.</w:t>
      </w:r>
    </w:p>
    <w:p>
      <w:pPr>
        <w:spacing w:before="0" w:after="120" w:line="240"/>
        <w:ind w:right="-22"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настоящия момент всички общини имат ползватели на механизма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Лична помощ“ по реда на Закона за личната помощ, участват и в процедура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Топъл обяд“ на Програма за храни и основно материално подпомагане 2021 г. -2027 г., в процедура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Патронажна грижа +“ и др. с оглед осигуряване на възможност за грижа и подкрепа на по-голяма част от населението в областта. Всички тези фактори, показват че има необходимост от социални услуги за резидентна грижа и услуги в домашна среда. С развитието им през последните години се наблюдава тенденцията все по-малък брой хора да имат потребност от настаняване в резидентна услуга.</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социалните услуги са обезпечени с необходимите служители и специалисти, притежаващи подходящи качества, квалификация и компетентности. Изградени са устойчиви екипи, не се наблюдава сериозно текучество на персонала и трайно незаети длъжности. Общините отчитат, че емоционалното натоварване оказва най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силно влияние върху работата на персонала, следвано от трудности при работа с потребители. Работещите в услугите се нуждаят от непрекъсната професионална подкрепа за преодоляване на проблемите, свързани с работата с потребителите и техните близки. В последните години се наблюдава занижена степен на мотивация в резултат на ниските възнаграждения и високата ангажираност в сферата в сравнение с други сектори, например образование.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Работещите в социалните услуги се нуждаят от професионална подкрепа за преодоляване на проблемите, свързани с работата с потребителите. В социалните услуги е налице тенденция за увеличаване на средната възраст на работещите и липса на млади специалисти, желаещи да се развиват в социалната сфера. Особено осезаема е липсата на медицински специалисти.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Ловеч</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Общините от областта са изправени пред предизвикателството да променят и усъвършенстват системата на социални услуги, които се предоставят на територията им с оглед по-голяма гъвкавост, активно включване на потребителите, разработване на иновативни модели на социални услуги и повишаване на качеството на съществуващите, с акцент върху постигнатия резултат.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Ключов фактор за ефективното социално включване и участие в живота на обществото на всички групи лица, които имат необходимост от подкрепа са социалните услуги. Във основа на направения анализ на състоянието на социалните услуги на територията на областта и очерталите се тенденции, могат да се направят следните изводи: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във всички общини се предоставят социални услуги за грижа в домашна среда;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Преобладават социалните услуги за пълнолетни лица, но се отчита потребност за създаване на нови услуги, която потребност не е планирана от общините да бъде задоволена в цялост, особено внимание следва да се обърне на социалната услуга Дневна грижа за пълнолетни лица с увреждания;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има развита мрежа от консултативни социални услуги (ЦОП, ДЦ, ЦСРИ);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 територията на областта няма интегрирани здравно-социални услуги за деца и пълнолетни лица- не се планира разкриване на нови интегрирани здравно социални услуги за деца с потребност от постоянна медицинска грижа, въпреки изведената потребност. Частично е планирано да бъдат задоволени потребностите от нови ИЗСУ за пълнолетни лица с потребност от постоянна медицинска грижа и в невъзможност за самообслужване;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Нито една от общините в област Ловеч не е поела ангажимент за разкриване на социални услуги за осигуряване на подслон на бременни жени и майки с деца до 3години, </w:t>
      </w:r>
      <w:r>
        <w:rPr>
          <w:rFonts w:ascii="Times New Roman" w:hAnsi="Times New Roman" w:cs="Times New Roman" w:eastAsia="Times New Roman"/>
          <w:color w:val="auto"/>
          <w:spacing w:val="0"/>
          <w:position w:val="0"/>
          <w:sz w:val="24"/>
          <w:shd w:fill="auto" w:val="clear"/>
        </w:rPr>
        <w:t xml:space="preserve">осигуряване на подслон за пълнолетни лица, пострадали от домашно насилие и лица жертви на трафик и осигуряване на подслон за лица в кризисна ситуация.</w:t>
      </w:r>
    </w:p>
    <w:p>
      <w:pPr>
        <w:keepNext w:val="true"/>
        <w:numPr>
          <w:ilvl w:val="0"/>
          <w:numId w:val="1666"/>
        </w:numPr>
        <w:tabs>
          <w:tab w:val="left" w:pos="718" w:leader="none"/>
        </w:tabs>
        <w:spacing w:before="360" w:after="120" w:line="240"/>
        <w:ind w:right="0" w:left="718" w:hanging="576"/>
        <w:jc w:val="both"/>
        <w:rPr>
          <w:rFonts w:ascii="Times New Roman" w:hAnsi="Times New Roman" w:cs="Times New Roman" w:eastAsia="Times New Roman"/>
          <w:b/>
          <w:color w:val="003366"/>
          <w:spacing w:val="0"/>
          <w:position w:val="0"/>
          <w:sz w:val="28"/>
          <w:shd w:fill="auto" w:val="clear"/>
        </w:rPr>
      </w:pPr>
      <w:r>
        <w:rPr>
          <w:rFonts w:ascii="Times New Roman" w:hAnsi="Times New Roman" w:cs="Times New Roman" w:eastAsia="Times New Roman"/>
          <w:b/>
          <w:color w:val="003366"/>
          <w:spacing w:val="0"/>
          <w:position w:val="0"/>
          <w:sz w:val="28"/>
          <w:shd w:fill="auto" w:val="clear"/>
        </w:rPr>
        <w:t xml:space="preserve">ОБЛАСТ МОНТАНА</w:t>
      </w:r>
    </w:p>
    <w:p>
      <w:pPr>
        <w:keepNext w:val="true"/>
        <w:numPr>
          <w:ilvl w:val="0"/>
          <w:numId w:val="1666"/>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БЕРКОВИЦА</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Берковица информацията за населението по настоящ адрес е получена от</w:t>
      </w:r>
      <w:r>
        <w:rPr>
          <w:rFonts w:ascii="Times New Roman" w:hAnsi="Times New Roman" w:cs="Times New Roman" w:eastAsia="Times New Roman"/>
          <w:color w:val="FF0000"/>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(ДСП),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 РИО на МОН, РЗИ, Общинска администрация - Берковица и в частност Локална база данни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Население“ на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Единната система за гражданска регистрация и административно обслужване на населението“ (ЕСГРАОН) и отделите, отговорни за социални, образователни и хуманитарни дейности.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Берковица, към 31.12.2021 г. е 18 800 жители, от тях 3 536 деца до 18-годишна възраст (18,8%). Общия брой на лицата с трайни увреждания е 2 087, от тях деца 67 (3,2%).</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Берковица са разкрити 9 социални услуги, от тях 8 се предоставят в гр. Берковица и ДПЛД в с. Бистрилица. Общият капацитет на социалните услуги е за 401 потребители, в т.ч. 67 асистентска подкрепа и 150 в Дом за стари хора.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588"/>
        <w:gridCol w:w="777"/>
        <w:gridCol w:w="1423"/>
        <w:gridCol w:w="1652"/>
        <w:gridCol w:w="1309"/>
        <w:gridCol w:w="728"/>
        <w:gridCol w:w="912"/>
        <w:gridCol w:w="678"/>
      </w:tblGrid>
      <w:tr>
        <w:trPr>
          <w:trHeight w:val="1" w:hRule="atLeast"/>
          <w:jc w:val="left"/>
        </w:trPr>
        <w:tc>
          <w:tcPr>
            <w:tcW w:w="158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77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142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165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130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ЗЖПЛУИ</w:t>
            </w:r>
          </w:p>
        </w:tc>
        <w:tc>
          <w:tcPr>
            <w:tcW w:w="72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91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ДПЛД</w:t>
            </w:r>
          </w:p>
        </w:tc>
        <w:tc>
          <w:tcPr>
            <w:tcW w:w="67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15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77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4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6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30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72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67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5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77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80</w:t>
            </w:r>
          </w:p>
        </w:tc>
        <w:tc>
          <w:tcPr>
            <w:tcW w:w="14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c>
          <w:tcPr>
            <w:tcW w:w="16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28</w:t>
            </w:r>
          </w:p>
        </w:tc>
        <w:tc>
          <w:tcPr>
            <w:tcW w:w="130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72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150</w:t>
            </w:r>
          </w:p>
        </w:tc>
        <w:tc>
          <w:tcPr>
            <w:tcW w:w="9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55</w:t>
            </w:r>
          </w:p>
        </w:tc>
        <w:tc>
          <w:tcPr>
            <w:tcW w:w="67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67</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Берковица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Берковица е 277.</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tbl>
      <w:tblPr/>
      <w:tblGrid>
        <w:gridCol w:w="4519"/>
        <w:gridCol w:w="4541"/>
      </w:tblGrid>
      <w:tr>
        <w:trPr>
          <w:trHeight w:val="1" w:hRule="atLeast"/>
          <w:jc w:val="left"/>
        </w:trPr>
        <w:tc>
          <w:tcPr>
            <w:tcW w:w="451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454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451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45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173</w:t>
            </w:r>
          </w:p>
        </w:tc>
      </w:tr>
      <w:tr>
        <w:trPr>
          <w:trHeight w:val="1" w:hRule="atLeast"/>
          <w:jc w:val="left"/>
        </w:trPr>
        <w:tc>
          <w:tcPr>
            <w:tcW w:w="451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45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r>
      <w:tr>
        <w:trPr>
          <w:trHeight w:val="1" w:hRule="atLeast"/>
          <w:jc w:val="left"/>
        </w:trPr>
        <w:tc>
          <w:tcPr>
            <w:tcW w:w="451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45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61</w:t>
            </w:r>
          </w:p>
        </w:tc>
      </w:tr>
      <w:tr>
        <w:trPr>
          <w:trHeight w:val="1" w:hRule="atLeast"/>
          <w:jc w:val="left"/>
        </w:trPr>
        <w:tc>
          <w:tcPr>
            <w:tcW w:w="451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45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w:t>
            </w:r>
          </w:p>
        </w:tc>
      </w:tr>
    </w:tbl>
    <w:p>
      <w:pPr>
        <w:spacing w:before="0" w:after="60" w:line="240"/>
        <w:ind w:right="0" w:left="0" w:firstLine="708"/>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Берковица,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Берковица, от други общини е 189.</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964"/>
        <w:gridCol w:w="5108"/>
      </w:tblGrid>
      <w:tr>
        <w:trPr>
          <w:trHeight w:val="1" w:hRule="atLeast"/>
          <w:jc w:val="left"/>
        </w:trPr>
        <w:tc>
          <w:tcPr>
            <w:tcW w:w="396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510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39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51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64</w:t>
            </w:r>
          </w:p>
        </w:tc>
      </w:tr>
      <w:tr>
        <w:trPr>
          <w:trHeight w:val="1" w:hRule="atLeast"/>
          <w:jc w:val="left"/>
        </w:trPr>
        <w:tc>
          <w:tcPr>
            <w:tcW w:w="39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51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39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51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r>
        <w:trPr>
          <w:trHeight w:val="1" w:hRule="atLeast"/>
          <w:jc w:val="left"/>
        </w:trPr>
        <w:tc>
          <w:tcPr>
            <w:tcW w:w="39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51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67</w:t>
            </w:r>
          </w:p>
        </w:tc>
      </w:tr>
      <w:tr>
        <w:trPr>
          <w:trHeight w:val="1" w:hRule="atLeast"/>
          <w:jc w:val="left"/>
        </w:trPr>
        <w:tc>
          <w:tcPr>
            <w:tcW w:w="39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ДПЛД</w:t>
            </w:r>
          </w:p>
        </w:tc>
        <w:tc>
          <w:tcPr>
            <w:tcW w:w="51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45</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Берковица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ГРАО и НСИ демографската структура на населението на Община Берковица е подчинена на установилите се през последните години общи тенденции за намаляване на броя и застаряване на населението, отрицателен естествен прираст и засилени миграционни процеси на национално, областно и общинско ниво.</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Негативната тенденция за намаляване на брой на населението е характерна за по-голямата част от населените места на община Берковица през анализирания пет годишен период.</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Малък е броя на незаетите позиции в социалните услуги на територията на общината. </w:t>
      </w:r>
      <w:r>
        <w:rPr>
          <w:rFonts w:ascii="Times New Roman" w:hAnsi="Times New Roman" w:cs="Times New Roman" w:eastAsia="Times New Roman"/>
          <w:color w:val="000000"/>
          <w:spacing w:val="0"/>
          <w:position w:val="0"/>
          <w:sz w:val="24"/>
          <w:shd w:fill="auto" w:val="clear"/>
        </w:rPr>
        <w:t xml:space="preserve">Налице са свободни 2,5 щатни длъжности, както следва 2 бр. работник-строителство и </w:t>
      </w:r>
      <w:r>
        <w:rPr>
          <w:rFonts w:ascii="Times New Roman" w:hAnsi="Times New Roman" w:cs="Times New Roman" w:eastAsia="Times New Roman"/>
          <w:color w:val="000000"/>
          <w:spacing w:val="0"/>
          <w:position w:val="0"/>
          <w:sz w:val="24"/>
          <w:shd w:fill="auto" w:val="clear"/>
        </w:rPr>
        <w:t xml:space="preserve">½ </w:t>
      </w:r>
      <w:r>
        <w:rPr>
          <w:rFonts w:ascii="Times New Roman" w:hAnsi="Times New Roman" w:cs="Times New Roman" w:eastAsia="Times New Roman"/>
          <w:color w:val="000000"/>
          <w:spacing w:val="0"/>
          <w:position w:val="0"/>
          <w:sz w:val="24"/>
          <w:shd w:fill="auto" w:val="clear"/>
        </w:rPr>
        <w:t xml:space="preserve">щат общ работник в ДСХ.</w:t>
      </w:r>
      <w:r>
        <w:rPr>
          <w:rFonts w:ascii="Times New Roman" w:hAnsi="Times New Roman" w:cs="Times New Roman" w:eastAsia="Times New Roman"/>
          <w:color w:val="auto"/>
          <w:spacing w:val="0"/>
          <w:position w:val="0"/>
          <w:sz w:val="24"/>
          <w:shd w:fill="auto" w:val="clear"/>
        </w:rPr>
        <w:t xml:space="preserve"> Осигуряването на квалифицирани служители е основен проблем на социалните услуги на територията на община Берковица. Недостигът на специалисти с подходящо образование и квалификации (напр. логопед и психолог) е причина за назначаване на служители в пенсионната възраст.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съпоставка на данните за брой на назначени служители и брой незаети длъжности към момента на извършването на анализа по утвърдените щатни разписания във всяка услуга в Община Берковица, както и въз основа на определените минимални изисквания в стандартите за качество на социалните услуги, касаещи броя и квалификацията на необходимите служители, съгласно НКСУ е изведен следният прогнозен 4,5 брой на служителите с оглед на оптимално функциониране на социалните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ДБТ, регистрирани безработни лица с медицинско образование са 2 бр., с образование в областта на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Хуманитарните науки“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бр., с образование в областта на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Социални, стопански и правни науки“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27 </w:t>
      </w:r>
      <w:r>
        <w:rPr>
          <w:rFonts w:ascii="Times New Roman" w:hAnsi="Times New Roman" w:cs="Times New Roman" w:eastAsia="Times New Roman"/>
          <w:color w:val="auto"/>
          <w:spacing w:val="0"/>
          <w:position w:val="0"/>
          <w:sz w:val="24"/>
          <w:shd w:fill="auto" w:val="clear"/>
        </w:rPr>
        <w:t xml:space="preserve">бр. Регистрирани безработни лица с предишен опит в социалните услуги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6 </w:t>
      </w:r>
      <w:r>
        <w:rPr>
          <w:rFonts w:ascii="Times New Roman" w:hAnsi="Times New Roman" w:cs="Times New Roman" w:eastAsia="Times New Roman"/>
          <w:color w:val="auto"/>
          <w:spacing w:val="0"/>
          <w:position w:val="0"/>
          <w:sz w:val="24"/>
          <w:shd w:fill="auto" w:val="clear"/>
        </w:rPr>
        <w:t xml:space="preserve">бр.</w:t>
      </w:r>
    </w:p>
    <w:p>
      <w:pPr>
        <w:keepNext w:val="true"/>
        <w:numPr>
          <w:ilvl w:val="0"/>
          <w:numId w:val="1717"/>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БОЙЧИНОВЦИ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Бойчиновци статистическата информация е получена от НСИ, РУО на МОН, РЗИ, РДСП; общинска администрация; ДСП; ДБТ-гр. Монтана; предоставени данни от кметовете и кметските наместници на населените места от община Бойчиновци; териториално статистическо бюро гр. Монтана,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гр. Бойчиновци,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 гр. Монтана, както и институцията, предоставяща социални услуги в общината -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Дом за стари хора”с. Владимирово.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Бойчиновци, към 31.12.2021 г. е 8 726 жители, от тях 1 580 деца до 18-годишна възраст (18,1%). Общия брой на лицата с трайни увреждания е 1 025, от тях деца 53 (5,2%).</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Бойчиновци са разкрити 2 социални услуги, ДСХ се предоставя в с. Владимирово и АП в гр. Бойчиновци. Общият капацитет на социалните услуги е за 88 потребители, от които 34 са в асистентска подкрепа и 54 потребители в Дом за стари хора.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5688"/>
        <w:gridCol w:w="1883"/>
        <w:gridCol w:w="1489"/>
      </w:tblGrid>
      <w:tr>
        <w:trPr>
          <w:trHeight w:val="1" w:hRule="atLeast"/>
          <w:jc w:val="left"/>
        </w:trPr>
        <w:tc>
          <w:tcPr>
            <w:tcW w:w="568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rFonts w:ascii="Calibri" w:hAnsi="Calibri" w:cs="Calibri" w:eastAsia="Calibri"/>
                <w:color w:val="auto"/>
                <w:spacing w:val="0"/>
                <w:position w:val="0"/>
                <w:sz w:val="22"/>
                <w:shd w:fill="auto" w:val="clear"/>
              </w:rPr>
            </w:pPr>
          </w:p>
        </w:tc>
        <w:tc>
          <w:tcPr>
            <w:tcW w:w="188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148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56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88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8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56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88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54</w:t>
            </w:r>
          </w:p>
        </w:tc>
        <w:tc>
          <w:tcPr>
            <w:tcW w:w="148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34</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Бойчиновци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Бойчиновци са 18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718"/>
        <w:gridCol w:w="5342"/>
      </w:tblGrid>
      <w:tr>
        <w:trPr>
          <w:trHeight w:val="1" w:hRule="atLeast"/>
          <w:jc w:val="left"/>
        </w:trPr>
        <w:tc>
          <w:tcPr>
            <w:tcW w:w="371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34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71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534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r>
        <w:trPr>
          <w:trHeight w:val="1" w:hRule="atLeast"/>
          <w:jc w:val="left"/>
        </w:trPr>
        <w:tc>
          <w:tcPr>
            <w:tcW w:w="371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34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Бойчиновци, различна от  общината по настоящ адрес</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Бойчиновци, от други общини е 24.</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677"/>
        <w:gridCol w:w="5383"/>
      </w:tblGrid>
      <w:tr>
        <w:trPr>
          <w:trHeight w:val="1" w:hRule="atLeast"/>
          <w:jc w:val="left"/>
        </w:trPr>
        <w:tc>
          <w:tcPr>
            <w:tcW w:w="367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538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36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53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Бойчиновци за последните 5 години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Демографските ресурси с техните образователни и квалификационни характеристики са един от решаващите фактори за местното развитие и растеж. В община Бойчиновци се наблюдават неблагоприятните демографски тенденции, формирани още в края на миналия век. В общината населението през 2021 намалява спрямо населението през 2017 с 387 жители. Населението по населени места в общината намалява и не е равномерно разпределено по територията.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Бойчиновци не е засегната от процесите на силна урбанизация, характерни за повечето райони на страната. Въпреки, че населението не е равномерно разпределено по общинската територия, то е сравнително балансирано между града и селата. Това обуславя необходимостта от прилагане на интегриран подход и стимулиране развитието, както на административния център, така и на малките населени места в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Огромно затруднение са недостатъчните специалисти в общината, които да осигуряват качествена грижа. Към момента с цел осигуряване на грижа за потребителите на ДСХ с. Владимирово са наети специалисти, които пътуват от град Монтана. </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информация на ДБТ регистрирани безработни лица на територията на общината с медицинско образование няма, с образование в областта на хуманитарните науки 3 лица, безработни лица с предишен опит в предоставянето на социални услуги са 69 лица и лица с придобита професионална квалификация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Подпомагане на възрастни хора“- 5 лица, и с придобита професионална квалификация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Помощник възпитател при отглеждане на деца“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10 </w:t>
      </w:r>
      <w:r>
        <w:rPr>
          <w:rFonts w:ascii="Times New Roman" w:hAnsi="Times New Roman" w:cs="Times New Roman" w:eastAsia="Times New Roman"/>
          <w:color w:val="auto"/>
          <w:spacing w:val="0"/>
          <w:position w:val="0"/>
          <w:sz w:val="24"/>
          <w:shd w:fill="auto" w:val="clear"/>
        </w:rPr>
        <w:t xml:space="preserve">лица.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Бойчиновци не е изготвила прогноза в анализа за необходимия брой служители за извършване на дейностите по предоставяне на социални и интегрирани здравно-социални услуги</w:t>
      </w:r>
      <w:r>
        <w:rPr>
          <w:rFonts w:ascii="Times New Roman" w:hAnsi="Times New Roman" w:cs="Times New Roman" w:eastAsia="Times New Roman"/>
          <w:color w:val="000000"/>
          <w:spacing w:val="0"/>
          <w:position w:val="0"/>
          <w:sz w:val="24"/>
          <w:shd w:fill="auto" w:val="clear"/>
        </w:rPr>
        <w:t xml:space="preserve"> с оглед на оптимално им функциониране</w:t>
      </w:r>
      <w:r>
        <w:rPr>
          <w:rFonts w:ascii="Times New Roman" w:hAnsi="Times New Roman" w:cs="Times New Roman" w:eastAsia="Times New Roman"/>
          <w:color w:val="auto"/>
          <w:spacing w:val="0"/>
          <w:position w:val="0"/>
          <w:sz w:val="24"/>
          <w:shd w:fill="auto" w:val="clear"/>
        </w:rPr>
        <w:t xml:space="preserve">, в</w:t>
      </w:r>
      <w:r>
        <w:rPr>
          <w:rFonts w:ascii="Times New Roman" w:hAnsi="Times New Roman" w:cs="Times New Roman" w:eastAsia="Times New Roman"/>
          <w:color w:val="000000"/>
          <w:spacing w:val="0"/>
          <w:position w:val="0"/>
          <w:sz w:val="24"/>
          <w:shd w:fill="auto" w:val="clear"/>
        </w:rPr>
        <w:t xml:space="preserve">ъв връзка с декомпозирането на съществуващите към момента социални услуги на територията на общината.</w:t>
      </w:r>
    </w:p>
    <w:p>
      <w:pPr>
        <w:keepNext w:val="true"/>
        <w:numPr>
          <w:ilvl w:val="0"/>
          <w:numId w:val="1755"/>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БРУСАРЦИ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Брусарци информацията за населението по настоящ адрес е </w:t>
      </w:r>
      <w:r>
        <w:rPr>
          <w:rFonts w:ascii="Times New Roman" w:hAnsi="Times New Roman" w:cs="Times New Roman" w:eastAsia="Times New Roman"/>
          <w:color w:val="000000"/>
          <w:spacing w:val="0"/>
          <w:position w:val="0"/>
          <w:sz w:val="24"/>
          <w:shd w:fill="auto" w:val="clear"/>
        </w:rPr>
        <w:t xml:space="preserve">от преброяването през 2021 </w:t>
      </w:r>
      <w:r>
        <w:rPr>
          <w:rFonts w:ascii="Times New Roman" w:hAnsi="Times New Roman" w:cs="Times New Roman" w:eastAsia="Times New Roman"/>
          <w:color w:val="auto"/>
          <w:spacing w:val="0"/>
          <w:position w:val="0"/>
          <w:sz w:val="24"/>
          <w:shd w:fill="auto" w:val="clear"/>
        </w:rPr>
        <w:t xml:space="preserve">г., за информацията при изготвяне на анализа е събрана от ДБТ, ГРАО и ДСП; местни комисии за борба срещу противообществените прояви на малолетни и непълнолетни, училища, лични лекари и пр.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Брусарци, към 31.12.2021 г. е 4 029 жители, от тях 543 деца до 18-годишна възраст (13,5%). Общия брой на лицата с трайни увреждания е 651, от тях деца 25 (3,8%).</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240" w:after="60" w:line="276"/>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Брусарци са разкрити 2 социални услуги, ЦОП и АП, които се предоставят в гр. Брусарци. Общият капацитет на социалните услуги е за 42 потребители, от които 22 са в Асистентска подкрепа.</w:t>
      </w:r>
    </w:p>
    <w:p>
      <w:pPr>
        <w:spacing w:before="0" w:after="0" w:line="276"/>
        <w:ind w:right="0" w:left="0" w:firstLine="708"/>
        <w:jc w:val="both"/>
        <w:rPr>
          <w:rFonts w:ascii="Times New Roman" w:hAnsi="Times New Roman" w:cs="Times New Roman" w:eastAsia="Times New Roman"/>
          <w:color w:val="auto"/>
          <w:spacing w:val="0"/>
          <w:position w:val="0"/>
          <w:sz w:val="24"/>
          <w:shd w:fill="auto" w:val="clear"/>
        </w:rPr>
      </w:pPr>
    </w:p>
    <w:tbl>
      <w:tblPr/>
      <w:tblGrid>
        <w:gridCol w:w="4265"/>
        <w:gridCol w:w="2247"/>
        <w:gridCol w:w="2548"/>
      </w:tblGrid>
      <w:tr>
        <w:trPr>
          <w:trHeight w:val="1" w:hRule="atLeast"/>
          <w:jc w:val="left"/>
        </w:trPr>
        <w:tc>
          <w:tcPr>
            <w:tcW w:w="426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rFonts w:ascii="Calibri" w:hAnsi="Calibri" w:cs="Calibri" w:eastAsia="Calibri"/>
                <w:color w:val="auto"/>
                <w:spacing w:val="0"/>
                <w:position w:val="0"/>
                <w:sz w:val="22"/>
                <w:shd w:fill="auto" w:val="clear"/>
              </w:rPr>
            </w:pPr>
          </w:p>
        </w:tc>
        <w:tc>
          <w:tcPr>
            <w:tcW w:w="224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254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426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24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5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26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24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25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Брусарци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Брусарци е 25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247"/>
        <w:gridCol w:w="4813"/>
      </w:tblGrid>
      <w:tr>
        <w:trPr>
          <w:trHeight w:val="1" w:hRule="atLeast"/>
          <w:jc w:val="left"/>
        </w:trPr>
        <w:tc>
          <w:tcPr>
            <w:tcW w:w="424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481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424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481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r>
      <w:tr>
        <w:trPr>
          <w:trHeight w:val="1" w:hRule="atLeast"/>
          <w:jc w:val="left"/>
        </w:trPr>
        <w:tc>
          <w:tcPr>
            <w:tcW w:w="424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481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Брусарци,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Брусарци, няма потребители от други общини ползващи социални услуги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Брусарци за последните 5 години</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Влошеното икономическо състояние в общината и застаряващото население са факторите, които влияят върху намаляване на населението. През последните години раждаемостта също намалява, увеличена смъртност, които са причина за спада на естествения прираст. Миграционните процеси през 2020 и 2021 години бележат раздвижване с положителни стойности, докато при предходните 3 години стойностите са нулеви. </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незаети или свободни длъжности.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съпоставка на данните за брой на назначени служители и брой незаети длъжности към момента на извършването на анализа по утвърдените щатни разписания във всяка услуга в Община Брусарци, както и въз основа на определените минимални изисквания в стандартите за качество на социалните услуги, касаещи броя и квалификацията на необходимите служители, съгласно НКСУ е изведен следният прогнозен брой -2 служители с оглед на оптимално функциониране на социалните услуги.</w:t>
      </w: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информация на ДБТ, общият брой на безработните регистрирани е 365 лица. В областта на хуманитарните науки няма регистрирани безработни, с медицинско образование са регистрирани 2 лица. Не е посочена информация за регистрирани безработни лица с предишен опит в предоставянето на социални услуги.</w:t>
      </w: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1789"/>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ВЪЛЧЕДРЪМ</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за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Вълчедръм информацията за населението по настоящ адрес е получена от информационна система НСИ, НОИ, ГРАО. За статистическата част за анализа е ползвана информация от ДСП, ДБТ, НПО.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Вълчедръм, към 31.12.2021 г. е 9 603 жители, от тях 1 693 деца до 18-годишна възраст (17,6%). Общия брой на лицата с трайни увреждания е 891, от тях деца 21 (2,4%).</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Вълчедръм функционират ДПЛСУ и Асистентска подкрепа с местонахождение гр. Вълчедръм с общ капацитет 80 потребители, от които 32 потребители в услугата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28"/>
        <w:gridCol w:w="2135"/>
        <w:gridCol w:w="2397"/>
      </w:tblGrid>
      <w:tr>
        <w:trPr>
          <w:trHeight w:val="277" w:hRule="auto"/>
          <w:jc w:val="left"/>
        </w:trPr>
        <w:tc>
          <w:tcPr>
            <w:tcW w:w="452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13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ДПЛСУ</w:t>
            </w:r>
          </w:p>
        </w:tc>
        <w:tc>
          <w:tcPr>
            <w:tcW w:w="239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452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1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39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52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1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48</w:t>
            </w:r>
          </w:p>
        </w:tc>
        <w:tc>
          <w:tcPr>
            <w:tcW w:w="239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32</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Вълчедръм</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желаещи да ползват социални услуги на територията на община Вълчедръм, област Монтана.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Вълчедръм,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Неприложим критерии за община Вълчедръм, област Монтана.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Вълчедръм за последните 5 години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Наблюдава се трайна тенденция за намаляване на населението. Тенденциите на ниска раждаемост и висока смъртност са трайни и са причина за отрицателния естествен прираст и задълбочаващата се демографска криза  в района. В резултат на миграционните процеси в общината намалява населението и механичния прираст също е отрицателен.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незаети или свободни длъжности. По информация на ДБТ регистрираните безработни лица с хуманитарно образование е 1 лица, няма регистрирани безработни лица с медицинско образование, лица с предишен опит в предоставянето на социални услуги са 3 бройки.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Вълчедръм не е изготвила прогноза в анализа за необходимия брой служители за извършване на дейностите по предоставяне на социални и интегрирани здравно-социални услуги</w:t>
      </w:r>
      <w:r>
        <w:rPr>
          <w:rFonts w:ascii="Times New Roman" w:hAnsi="Times New Roman" w:cs="Times New Roman" w:eastAsia="Times New Roman"/>
          <w:color w:val="000000"/>
          <w:spacing w:val="0"/>
          <w:position w:val="0"/>
          <w:sz w:val="24"/>
          <w:shd w:fill="auto" w:val="clear"/>
        </w:rPr>
        <w:t xml:space="preserve"> с оглед на оптимално им функциониране</w:t>
      </w:r>
      <w:r>
        <w:rPr>
          <w:rFonts w:ascii="Times New Roman" w:hAnsi="Times New Roman" w:cs="Times New Roman" w:eastAsia="Times New Roman"/>
          <w:color w:val="auto"/>
          <w:spacing w:val="0"/>
          <w:position w:val="0"/>
          <w:sz w:val="24"/>
          <w:shd w:fill="auto" w:val="clear"/>
        </w:rPr>
        <w:t xml:space="preserve">, в</w:t>
      </w:r>
      <w:r>
        <w:rPr>
          <w:rFonts w:ascii="Times New Roman" w:hAnsi="Times New Roman" w:cs="Times New Roman" w:eastAsia="Times New Roman"/>
          <w:color w:val="000000"/>
          <w:spacing w:val="0"/>
          <w:position w:val="0"/>
          <w:sz w:val="24"/>
          <w:shd w:fill="auto" w:val="clear"/>
        </w:rPr>
        <w:t xml:space="preserve">ъв връзка с декомпозирането на съществуващите към момента социални услуги на територията на общината.</w:t>
      </w:r>
    </w:p>
    <w:p>
      <w:pPr>
        <w:keepNext w:val="true"/>
        <w:numPr>
          <w:ilvl w:val="0"/>
          <w:numId w:val="1808"/>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ВЪРШЕЦ</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Основните инструменти на анализа за община Вършец са: преглед на законодателството; преглед на анализите на ситуацията и оценките на потребности от социални услуги в различните общини; анализ на данни от Националния статистически институт (НСИ); анализ на данни от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анализ на данни от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 анализ на данни, документация и експертиза на доставчиците на услуги за действащите социални услуги в общината; проучване на данни от системата на ГРАО към МРРБ; анализ на данни за здравнонеосигурени лица, получени от общопрактикуващите лекари в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Вършец, към 31.12.2022 г. е 6 626 жители, от тях 1 109 деца до 18-годишна възраст (16,7%). Общия брой на лицата с трайни увреждания е 828, от тях деца 62 (7,5%).</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Вършец функционират ЦНСТПЛФУ и АП, които се предоставят в гр. Вършец. Общият капацитет на социалните услуги е за 43 потребители, от които 28 са в услугата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975"/>
        <w:gridCol w:w="2537"/>
        <w:gridCol w:w="2548"/>
      </w:tblGrid>
      <w:tr>
        <w:trPr>
          <w:trHeight w:val="1" w:hRule="atLeast"/>
          <w:jc w:val="left"/>
        </w:trPr>
        <w:tc>
          <w:tcPr>
            <w:tcW w:w="397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53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ЦНСТПЛФУ</w:t>
            </w:r>
          </w:p>
        </w:tc>
        <w:tc>
          <w:tcPr>
            <w:tcW w:w="254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397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5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97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5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2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28</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Вършец</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Вършец са 45 лица.</w:t>
      </w:r>
    </w:p>
    <w:p>
      <w:pPr>
        <w:spacing w:before="0" w:after="0" w:line="276"/>
        <w:ind w:right="0" w:left="0" w:firstLine="708"/>
        <w:jc w:val="both"/>
        <w:rPr>
          <w:rFonts w:ascii="Times New Roman" w:hAnsi="Times New Roman" w:cs="Times New Roman" w:eastAsia="Times New Roman"/>
          <w:color w:val="auto"/>
          <w:spacing w:val="0"/>
          <w:position w:val="0"/>
          <w:sz w:val="24"/>
          <w:shd w:fill="auto" w:val="clear"/>
        </w:rPr>
      </w:pPr>
    </w:p>
    <w:tbl>
      <w:tblPr/>
      <w:tblGrid>
        <w:gridCol w:w="4247"/>
        <w:gridCol w:w="4813"/>
      </w:tblGrid>
      <w:tr>
        <w:trPr>
          <w:trHeight w:val="1" w:hRule="atLeast"/>
          <w:jc w:val="left"/>
        </w:trPr>
        <w:tc>
          <w:tcPr>
            <w:tcW w:w="424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81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2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ЦНСТПЛФУ</w:t>
            </w:r>
          </w:p>
        </w:tc>
        <w:tc>
          <w:tcPr>
            <w:tcW w:w="48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r>
      <w:tr>
        <w:trPr>
          <w:trHeight w:val="1" w:hRule="atLeast"/>
          <w:jc w:val="left"/>
        </w:trPr>
        <w:tc>
          <w:tcPr>
            <w:tcW w:w="42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48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Вършец,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лицата, които ползват социални и интегрирани здравно-социални услуги на територията на община Вършец, различна от общината по настоящ адрес е 7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247"/>
        <w:gridCol w:w="4813"/>
      </w:tblGrid>
      <w:tr>
        <w:trPr>
          <w:trHeight w:val="1" w:hRule="atLeast"/>
          <w:jc w:val="left"/>
        </w:trPr>
        <w:tc>
          <w:tcPr>
            <w:tcW w:w="424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481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424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ЦНСТПЛФУ</w:t>
            </w:r>
          </w:p>
        </w:tc>
        <w:tc>
          <w:tcPr>
            <w:tcW w:w="481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Вършец за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Анализираните данни за броя на населението показват, че процесите на обезлюдяване в страната се проявяват и в община Вършец. С оглед намаляващото население се очаква част от населените места да усетят проблеми с качеството на публичните услуги и жителите им да бъдат принудени да ги търсят в общинския център.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Поради ограничените възможности за професионална реализация на територията на община Вършец, част от населението в трудоспособна възраст се изселва извън града към по-големи населени места (Монтана, Враца, София и др.) и извън страната в търсене на работа. Изселванията на млади хора от общината водят до влошаване на структурата на населението и до обезлюдяване на територията. Налице е и ежедневна миграция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пътуване на населението извън границите на общината към някои други съседни общински центрове и областния център. Това механично движение е породено от по-добрите възможности за трудова реализация и по-високите доходи в тези места. То не се отразява трайно върху броя на населението в общината, като близостта до областния център има и благоприятен ефект върху запазването на една част от постоянно живеещото на територията на общината население, като му осигурява доходи без необходимост от промяна на местоживеенето.</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незаети или свободни длъжности.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съпоставка на данните за брой на назначени служители и брой незаети длъжности към момента на извършването на анализа по утвърдените щатни разписания във всяка услуга в Община Вършец, както и въз основа на определените минимални изисквания в стандартите за качество на социалните услуги, касаещи броя и квалификацията на необходимите служители, съгласно НКСУ е изведен прогнозен брой един служител с оглед на оптимално функциониране на социалните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информация на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 Берковица, филиал Вършец няма регистрирани лица с образование в областта на здравеопазването и хуманитарните науки. С активна регистрация и с предишен опит в социалните услуги са само две безработни лица.</w:t>
      </w:r>
    </w:p>
    <w:p>
      <w:pPr>
        <w:keepNext w:val="true"/>
        <w:numPr>
          <w:ilvl w:val="0"/>
          <w:numId w:val="1844"/>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ГЕОРГИ ДАМЯНОВО</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tabs>
          <w:tab w:val="left" w:pos="426" w:leader="none"/>
          <w:tab w:val="left" w:pos="567" w:leader="none"/>
          <w:tab w:val="left" w:pos="709"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Георги Дамяново информацията за целите на настоящия анализ е получена от ДСП, РУО на МОН, РЗИ, ДБТ, НСИ, НЕЛК; ГРАО, ДСП гр. Чипровци; местни комисии за борба с противообществените прояви на малолетни и непълнолетни, РПУ и др.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Георги Дамяново, към 31.12.2021 г. е 2 155 жители, от тях 270 деца до 18-годишна възраст (12,5%). Общия брой на лицата с трайни увреждания е 1 411, от тях деца 7 (0,5%).</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Георги Дамяново са разкрити 2 социални услуги ЦНСТДБУ, което се предоставя на територията на с. Гаврил Геново и АП в общ. Георги Дамяново. Общият капацитет на социалните услуги е за 32 потребители, в т.ч. 17 асистентска подкрепа.</w:t>
      </w:r>
    </w:p>
    <w:p>
      <w:pPr>
        <w:spacing w:before="0" w:after="0" w:line="276"/>
        <w:ind w:right="0" w:left="0" w:firstLine="708"/>
        <w:jc w:val="both"/>
        <w:rPr>
          <w:rFonts w:ascii="Times New Roman" w:hAnsi="Times New Roman" w:cs="Times New Roman" w:eastAsia="Times New Roman"/>
          <w:color w:val="auto"/>
          <w:spacing w:val="0"/>
          <w:position w:val="0"/>
          <w:sz w:val="24"/>
          <w:shd w:fill="auto" w:val="clear"/>
        </w:rPr>
      </w:pPr>
    </w:p>
    <w:tbl>
      <w:tblPr/>
      <w:tblGrid>
        <w:gridCol w:w="3481"/>
        <w:gridCol w:w="2466"/>
        <w:gridCol w:w="3113"/>
      </w:tblGrid>
      <w:tr>
        <w:trPr>
          <w:trHeight w:val="358" w:hRule="auto"/>
          <w:jc w:val="left"/>
        </w:trPr>
        <w:tc>
          <w:tcPr>
            <w:tcW w:w="348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46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311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348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4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31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48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4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31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Георги Дамяново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чакащи, които желаят да ползват социални услуги на територията на община Георги Дамяново.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Георги Дамяново,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Георги Дамяново, от други общини е 11.</w:t>
      </w:r>
    </w:p>
    <w:tbl>
      <w:tblPr/>
      <w:tblGrid>
        <w:gridCol w:w="3818"/>
        <w:gridCol w:w="5242"/>
      </w:tblGrid>
      <w:tr>
        <w:trPr>
          <w:trHeight w:val="1" w:hRule="atLeast"/>
          <w:jc w:val="left"/>
        </w:trPr>
        <w:tc>
          <w:tcPr>
            <w:tcW w:w="381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524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38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52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Георги Дамяново за последните 5 години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Данните показват, че процесът на намаляване броя на населението е устойчив. Във всички населени места населението бележи спад. Видно е, че има много високи стойности на отрицателен естествен прираст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Процесът на обезлюдяване засяга и община Георги Дамяново с колебливи темпове през разглеждания период. През 2019 и 2020 години има положителни стойности на хора, заселили се в общината, а през останалите 3 години прираста е отрицателен. В общината хората в надтрудоспособна възраст преобладават.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съпоставка на данните за брой на назначените служители и брой незаети длъжности към момента на извършването на анализа по утвърдените щатни разписания в социалните услуги има необходимост от 8 нови служители.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Съгласно изготвения анализ възниква необходимост от извеждането на 4 нови социални услуги на територията на община Георги Дамяново, за които ще е нужно прогнозен персонал - 63 служители.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информация от ДБТ на територията на община Георги Дамяново са регистрирани като безработни 142 лица. От тях с медицинско образование 2 лица, с хуманитарно образование 1 лице, с предишен опит в предоставянето на социални услуги 42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1871"/>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ЛОМ</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са използвани официални източници на информация - НСИ, ДСП и ОЗД, ДБТ, РУО, ГРАО, социални услуги в общината, Плана за интегрирано развитие на Община Лом 2021-2027 г.</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Лом, към 31.12.2021 г. е 26 821 жители, от тях 4 968 деца до 18-годишна възраст (18,5%). Общия брой на лицата с трайни увреждания е 3 571, от тях деца 108 (3%).</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Лом са разкрити 12 социални услуги, като 11 услуги се предоставят в гр. Лом, а един Дневен център за стари хора е с местоположение с. Ковачица. Общият капацитет на социалните услуги е за 371 потребители, в т.ч. 93 асистентска подкрепа и 25 за Дом за стари хора.</w:t>
      </w:r>
    </w:p>
    <w:tbl>
      <w:tblPr/>
      <w:tblGrid>
        <w:gridCol w:w="3341"/>
        <w:gridCol w:w="1674"/>
        <w:gridCol w:w="1535"/>
        <w:gridCol w:w="1533"/>
        <w:gridCol w:w="977"/>
      </w:tblGrid>
      <w:tr>
        <w:trPr>
          <w:trHeight w:val="1" w:hRule="atLeast"/>
          <w:jc w:val="left"/>
        </w:trPr>
        <w:tc>
          <w:tcPr>
            <w:tcW w:w="334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67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ЦНСТПЛПР</w:t>
            </w:r>
          </w:p>
        </w:tc>
        <w:tc>
          <w:tcPr>
            <w:tcW w:w="153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ЦНСТДБУ</w:t>
            </w:r>
          </w:p>
        </w:tc>
        <w:tc>
          <w:tcPr>
            <w:tcW w:w="153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ЦНСТДМУ</w:t>
            </w:r>
          </w:p>
        </w:tc>
        <w:tc>
          <w:tcPr>
            <w:tcW w:w="97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ДЦСХ</w:t>
            </w:r>
          </w:p>
        </w:tc>
      </w:tr>
      <w:tr>
        <w:trPr>
          <w:trHeight w:val="1" w:hRule="atLeast"/>
          <w:jc w:val="left"/>
        </w:trPr>
        <w:tc>
          <w:tcPr>
            <w:tcW w:w="33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6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5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33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6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15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21</w:t>
            </w:r>
          </w:p>
        </w:tc>
        <w:tc>
          <w:tcPr>
            <w:tcW w:w="15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9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68</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652"/>
        <w:gridCol w:w="836"/>
        <w:gridCol w:w="1393"/>
        <w:gridCol w:w="975"/>
        <w:gridCol w:w="975"/>
        <w:gridCol w:w="1254"/>
        <w:gridCol w:w="975"/>
      </w:tblGrid>
      <w:tr>
        <w:trPr>
          <w:trHeight w:val="339" w:hRule="auto"/>
          <w:jc w:val="left"/>
        </w:trPr>
        <w:tc>
          <w:tcPr>
            <w:tcW w:w="265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83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139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w:t>
            </w:r>
          </w:p>
        </w:tc>
        <w:tc>
          <w:tcPr>
            <w:tcW w:w="97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97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ЦВН</w:t>
            </w:r>
          </w:p>
        </w:tc>
        <w:tc>
          <w:tcPr>
            <w:tcW w:w="125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ЗЖЛПР</w:t>
            </w:r>
          </w:p>
        </w:tc>
        <w:tc>
          <w:tcPr>
            <w:tcW w:w="97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left"/>
        </w:trPr>
        <w:tc>
          <w:tcPr>
            <w:tcW w:w="26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3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6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c>
          <w:tcPr>
            <w:tcW w:w="13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60</w:t>
            </w:r>
          </w:p>
        </w:tc>
        <w:tc>
          <w:tcPr>
            <w:tcW w:w="9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60</w:t>
            </w:r>
          </w:p>
        </w:tc>
        <w:tc>
          <w:tcPr>
            <w:tcW w:w="9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12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9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93</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Лом</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Лом е 295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443"/>
        <w:gridCol w:w="5771"/>
      </w:tblGrid>
      <w:tr>
        <w:trPr>
          <w:trHeight w:val="1" w:hRule="atLeast"/>
          <w:jc w:val="left"/>
        </w:trPr>
        <w:tc>
          <w:tcPr>
            <w:tcW w:w="344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77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44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577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206</w:t>
            </w:r>
          </w:p>
        </w:tc>
      </w:tr>
      <w:tr>
        <w:trPr>
          <w:trHeight w:val="1" w:hRule="atLeast"/>
          <w:jc w:val="left"/>
        </w:trPr>
        <w:tc>
          <w:tcPr>
            <w:tcW w:w="344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ЗЖЛПР</w:t>
            </w:r>
          </w:p>
        </w:tc>
        <w:tc>
          <w:tcPr>
            <w:tcW w:w="577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89</w:t>
            </w:r>
          </w:p>
        </w:tc>
      </w:tr>
    </w:tbl>
    <w:p>
      <w:pPr>
        <w:spacing w:before="0" w:after="6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Лом,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Лом, от други общини е 73.</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899"/>
        <w:gridCol w:w="5161"/>
      </w:tblGrid>
      <w:tr>
        <w:trPr>
          <w:trHeight w:val="1" w:hRule="atLeast"/>
          <w:jc w:val="left"/>
        </w:trPr>
        <w:tc>
          <w:tcPr>
            <w:tcW w:w="389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516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38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51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38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ЦВН</w:t>
            </w:r>
          </w:p>
        </w:tc>
        <w:tc>
          <w:tcPr>
            <w:tcW w:w="51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1" w:hRule="atLeast"/>
          <w:jc w:val="left"/>
        </w:trPr>
        <w:tc>
          <w:tcPr>
            <w:tcW w:w="38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51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r>
        <w:trPr>
          <w:trHeight w:val="1" w:hRule="atLeast"/>
          <w:jc w:val="left"/>
        </w:trPr>
        <w:tc>
          <w:tcPr>
            <w:tcW w:w="38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51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r>
      <w:tr>
        <w:trPr>
          <w:trHeight w:val="1" w:hRule="atLeast"/>
          <w:jc w:val="left"/>
        </w:trPr>
        <w:tc>
          <w:tcPr>
            <w:tcW w:w="38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51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38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ЗЖЛПР</w:t>
            </w:r>
          </w:p>
        </w:tc>
        <w:tc>
          <w:tcPr>
            <w:tcW w:w="51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38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51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39</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Лом за последните 5 години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Населението във всички населени места на община Лом намалява, а заедно с това репродуктивните и трудоспособните контингенти, което усложнява демографската и икономическа ситуация. Причините са големите загуби на човешки ресурси, силно влошена възрастова структура и възпроизводство с голям отрицателен естествен прираст. Това има своето пряко следствие за създаване на предпоставки за повишен риск от социална изключеност в определена възрастова група (най-възрастните и самотно живеещите), която с годините се разраства като относителен дял в общата численост на населението.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r>
        <w:rPr>
          <w:rFonts w:ascii="Times New Roman" w:hAnsi="Times New Roman" w:cs="Times New Roman" w:eastAsia="Times New Roman"/>
          <w:b/>
          <w:color w:val="auto"/>
          <w:spacing w:val="0"/>
          <w:position w:val="0"/>
          <w:sz w:val="24"/>
          <w:shd w:fill="auto" w:val="clear"/>
        </w:rPr>
        <w:t xml:space="preserve">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Има 2 броя незаети длъжности в ЦСРИ гр. Лом - 1 бр. логопед и 1 бр. музикотерапевт. Останалите съществуващи към настоящия момент социални услуги са обезпечени с необходимия брой специалисти и обслужващ персонал.</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информация от ДБТ на територията на община Лом са регистрирани като безработни 132 лица. От тях с медицинско образование 1 лица, с хуманитарно образование 26 лица, с предишен опит в предоставянето на социални услуги 105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декомпозирането на социалните услуги е изведена необходимост от 1 нова бройка служител в социалните услуги, която ще се компенсира от незаетите длъжности.</w:t>
      </w:r>
    </w:p>
    <w:p>
      <w:pPr>
        <w:keepNext w:val="true"/>
        <w:numPr>
          <w:ilvl w:val="0"/>
          <w:numId w:val="1931"/>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МЕДКОВЕЦ</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При изготвянето на анализа са използвани официални източници на информация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план за интегрирано развитие на община Медковец.</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Медковец, към 31.12.2021 г. е 3 272 жители, от тях 368 деца до 18-годишна възраст (11,3%). Общият брой на лицата с трайни увреждания е 482, от тях деца 21 (4,4%).</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Медковец се предоставят социални услуги Дневен център за стари хора с капацитет 20 потребители и Асистентска подкрепа с капацитет 15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843"/>
        <w:gridCol w:w="2093"/>
        <w:gridCol w:w="2124"/>
      </w:tblGrid>
      <w:tr>
        <w:trPr>
          <w:trHeight w:val="298" w:hRule="auto"/>
          <w:jc w:val="left"/>
        </w:trPr>
        <w:tc>
          <w:tcPr>
            <w:tcW w:w="484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09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ДЦСХ</w:t>
            </w:r>
          </w:p>
        </w:tc>
        <w:tc>
          <w:tcPr>
            <w:tcW w:w="212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484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0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84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0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2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Медковец</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Медковец е 47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tbl>
      <w:tblPr/>
      <w:tblGrid>
        <w:gridCol w:w="4811"/>
        <w:gridCol w:w="4249"/>
      </w:tblGrid>
      <w:tr>
        <w:trPr>
          <w:trHeight w:val="1" w:hRule="atLeast"/>
          <w:jc w:val="left"/>
        </w:trPr>
        <w:tc>
          <w:tcPr>
            <w:tcW w:w="481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424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481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ДЦСХ</w:t>
            </w:r>
          </w:p>
        </w:tc>
        <w:tc>
          <w:tcPr>
            <w:tcW w:w="424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r>
      <w:tr>
        <w:trPr>
          <w:trHeight w:val="1" w:hRule="atLeast"/>
          <w:jc w:val="left"/>
        </w:trPr>
        <w:tc>
          <w:tcPr>
            <w:tcW w:w="481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424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27</w:t>
            </w:r>
          </w:p>
        </w:tc>
      </w:tr>
    </w:tbl>
    <w:p>
      <w:pPr>
        <w:spacing w:before="0" w:after="60" w:line="240"/>
        <w:ind w:right="0" w:left="0" w:firstLine="0"/>
        <w:jc w:val="left"/>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Медковец,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Всички потребители на социалните услуги са от община Медковец.</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Медковец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Общата тенденция е на застаряване на населението на община Медковец. Тенденциите в демографските показатели, следват общите тенденции в демографското развитие на цялата страна - намалена раждаемост, увеличена смъртност, засилена урбанизация и интензивна емиграция поради голямата безработица.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незаети или свободни длъжности. Община Медковец не възнамерява да извършва изменение по утвърдените щатни разписания във всяка услуга, с цел да се запазят определените минимални изисквания в стандартите за качество на социалните услуги.</w:t>
      </w:r>
    </w:p>
    <w:p>
      <w:pPr>
        <w:keepNext w:val="true"/>
        <w:numPr>
          <w:ilvl w:val="0"/>
          <w:numId w:val="1958"/>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МОНТАНА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При изготвянето на анализа са използвани официални източници на информация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Актуални данни от общинска администрация, събирани и предоставени от експертите на ГРАО, експертите от Дирекция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Хуманитарни дейности“, ДСП, РЗИ и РУО; стратегически актове на национално, областно и местно ниво (анализи, доклади, стратегии, програми и планове за развитие в сферата на социалните услуги); статистически данни, събирани и актуализирани от институциите на областно и общинско ниво (РДСП, ДСП, РУО, РЗИ, ДБТ, НОИ, НСИ и др.).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Монтана, към 31.12.2021 г. е 55 343 жители, от тях 8 697 деца до 18-годишна възраст (15,7%). Общият брой на лицата с трайни увреждания е 6 642, от тях деца 680 (10,2%).</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color w:val="FF0000"/>
          <w:spacing w:val="0"/>
          <w:position w:val="0"/>
          <w:sz w:val="24"/>
          <w:shd w:fill="auto" w:val="clear"/>
        </w:rPr>
      </w:pPr>
    </w:p>
    <w:p>
      <w:pPr>
        <w:spacing w:before="0" w:after="60" w:line="240"/>
        <w:ind w:right="0" w:left="0" w:firstLine="0"/>
        <w:jc w:val="both"/>
        <w:rPr>
          <w:rFonts w:ascii="Times New Roman" w:hAnsi="Times New Roman" w:cs="Times New Roman" w:eastAsia="Times New Roman"/>
          <w:b/>
          <w:color w:val="FF0000"/>
          <w:spacing w:val="0"/>
          <w:position w:val="0"/>
          <w:sz w:val="24"/>
          <w:shd w:fill="auto" w:val="clear"/>
        </w:rPr>
      </w:pPr>
    </w:p>
    <w:p>
      <w:pPr>
        <w:spacing w:before="0" w:after="60" w:line="240"/>
        <w:ind w:right="0" w:left="0" w:firstLine="0"/>
        <w:jc w:val="both"/>
        <w:rPr>
          <w:rFonts w:ascii="Times New Roman" w:hAnsi="Times New Roman" w:cs="Times New Roman" w:eastAsia="Times New Roman"/>
          <w:b/>
          <w:color w:val="FF0000"/>
          <w:spacing w:val="0"/>
          <w:position w:val="0"/>
          <w:sz w:val="24"/>
          <w:shd w:fill="auto" w:val="clear"/>
        </w:rPr>
      </w:pPr>
    </w:p>
    <w:p>
      <w:pPr>
        <w:spacing w:before="0" w:after="60" w:line="240"/>
        <w:ind w:right="0" w:left="0" w:firstLine="0"/>
        <w:jc w:val="both"/>
        <w:rPr>
          <w:rFonts w:ascii="Times New Roman" w:hAnsi="Times New Roman" w:cs="Times New Roman" w:eastAsia="Times New Roman"/>
          <w:b/>
          <w:color w:val="FF0000"/>
          <w:spacing w:val="0"/>
          <w:position w:val="0"/>
          <w:sz w:val="24"/>
          <w:shd w:fill="auto" w:val="clear"/>
        </w:rPr>
      </w:pPr>
    </w:p>
    <w:p>
      <w:pPr>
        <w:spacing w:before="0" w:after="60" w:line="240"/>
        <w:ind w:right="0" w:left="0" w:firstLine="0"/>
        <w:jc w:val="both"/>
        <w:rPr>
          <w:rFonts w:ascii="Times New Roman" w:hAnsi="Times New Roman" w:cs="Times New Roman" w:eastAsia="Times New Roman"/>
          <w:b/>
          <w:color w:val="FF0000"/>
          <w:spacing w:val="0"/>
          <w:position w:val="0"/>
          <w:sz w:val="24"/>
          <w:shd w:fill="auto" w:val="clear"/>
        </w:rPr>
      </w:pPr>
    </w:p>
    <w:p>
      <w:pPr>
        <w:spacing w:before="0" w:after="60" w:line="240"/>
        <w:ind w:right="0" w:left="0" w:firstLine="0"/>
        <w:jc w:val="both"/>
        <w:rPr>
          <w:rFonts w:ascii="Times New Roman" w:hAnsi="Times New Roman" w:cs="Times New Roman" w:eastAsia="Times New Roman"/>
          <w:b/>
          <w:color w:val="FF0000"/>
          <w:spacing w:val="0"/>
          <w:position w:val="0"/>
          <w:sz w:val="24"/>
          <w:shd w:fill="auto" w:val="clear"/>
        </w:rPr>
      </w:pPr>
    </w:p>
    <w:p>
      <w:pPr>
        <w:spacing w:before="0" w:after="60" w:line="240"/>
        <w:ind w:right="0" w:left="0" w:firstLine="0"/>
        <w:jc w:val="both"/>
        <w:rPr>
          <w:rFonts w:ascii="Times New Roman" w:hAnsi="Times New Roman" w:cs="Times New Roman" w:eastAsia="Times New Roman"/>
          <w:b/>
          <w:color w:val="FF0000"/>
          <w:spacing w:val="0"/>
          <w:position w:val="0"/>
          <w:sz w:val="24"/>
          <w:shd w:fill="auto" w:val="clear"/>
        </w:rPr>
      </w:pPr>
    </w:p>
    <w:p>
      <w:pPr>
        <w:spacing w:before="0" w:after="60" w:line="240"/>
        <w:ind w:right="0" w:left="0" w:firstLine="0"/>
        <w:jc w:val="both"/>
        <w:rPr>
          <w:rFonts w:ascii="Times New Roman" w:hAnsi="Times New Roman" w:cs="Times New Roman" w:eastAsia="Times New Roman"/>
          <w:b/>
          <w:color w:val="FF0000"/>
          <w:spacing w:val="0"/>
          <w:position w:val="0"/>
          <w:sz w:val="24"/>
          <w:shd w:fill="auto" w:val="clear"/>
        </w:rPr>
      </w:pPr>
    </w:p>
    <w:p>
      <w:pPr>
        <w:spacing w:before="0" w:after="60" w:line="240"/>
        <w:ind w:right="0" w:left="0" w:firstLine="0"/>
        <w:jc w:val="both"/>
        <w:rPr>
          <w:rFonts w:ascii="Times New Roman" w:hAnsi="Times New Roman" w:cs="Times New Roman" w:eastAsia="Times New Roman"/>
          <w:b/>
          <w:color w:val="FF0000"/>
          <w:spacing w:val="0"/>
          <w:position w:val="0"/>
          <w:sz w:val="24"/>
          <w:shd w:fill="auto" w:val="clear"/>
        </w:rPr>
      </w:pPr>
    </w:p>
    <w:p>
      <w:pPr>
        <w:spacing w:before="0" w:after="60" w:line="240"/>
        <w:ind w:right="0" w:left="0" w:firstLine="0"/>
        <w:jc w:val="both"/>
        <w:rPr>
          <w:rFonts w:ascii="Times New Roman" w:hAnsi="Times New Roman" w:cs="Times New Roman" w:eastAsia="Times New Roman"/>
          <w:b/>
          <w:color w:val="FF0000"/>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Монтана са разкрити 13 социални услуги, 11 услуги се предоставят в гр. Монтана, а ПЖПЛ и ДСХ са с местонахождение с. Горна Вереница.</w:t>
      </w:r>
      <w:r>
        <w:rPr>
          <w:rFonts w:ascii="Times New Roman" w:hAnsi="Times New Roman" w:cs="Times New Roman" w:eastAsia="Times New Roman"/>
          <w:color w:val="FF0000"/>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Общият капацитет на социалните услуги е за 419 потребители, в т.ч. 157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628"/>
        <w:gridCol w:w="910"/>
        <w:gridCol w:w="1133"/>
        <w:gridCol w:w="1093"/>
        <w:gridCol w:w="750"/>
        <w:gridCol w:w="846"/>
        <w:gridCol w:w="1700"/>
      </w:tblGrid>
      <w:tr>
        <w:trPr>
          <w:trHeight w:val="264" w:hRule="auto"/>
          <w:jc w:val="left"/>
        </w:trPr>
        <w:tc>
          <w:tcPr>
            <w:tcW w:w="262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1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ДЦДУ</w:t>
            </w:r>
          </w:p>
        </w:tc>
        <w:tc>
          <w:tcPr>
            <w:tcW w:w="113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109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ЗЖЛПР</w:t>
            </w:r>
          </w:p>
        </w:tc>
        <w:tc>
          <w:tcPr>
            <w:tcW w:w="75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ЦВН</w:t>
            </w:r>
          </w:p>
        </w:tc>
        <w:tc>
          <w:tcPr>
            <w:tcW w:w="8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17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ЦНСТДМБУ</w:t>
            </w:r>
          </w:p>
        </w:tc>
      </w:tr>
      <w:tr>
        <w:trPr>
          <w:trHeight w:val="1" w:hRule="atLeast"/>
          <w:jc w:val="left"/>
        </w:trPr>
        <w:tc>
          <w:tcPr>
            <w:tcW w:w="262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9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1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09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7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339" w:hRule="auto"/>
          <w:jc w:val="left"/>
        </w:trPr>
        <w:tc>
          <w:tcPr>
            <w:tcW w:w="262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9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c>
          <w:tcPr>
            <w:tcW w:w="11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c>
          <w:tcPr>
            <w:tcW w:w="109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c>
          <w:tcPr>
            <w:tcW w:w="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c>
          <w:tcPr>
            <w:tcW w:w="8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100</w:t>
            </w:r>
          </w:p>
        </w:tc>
        <w:tc>
          <w:tcPr>
            <w:tcW w:w="17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547"/>
        <w:gridCol w:w="1274"/>
        <w:gridCol w:w="1133"/>
        <w:gridCol w:w="1509"/>
        <w:gridCol w:w="1464"/>
        <w:gridCol w:w="1133"/>
      </w:tblGrid>
      <w:tr>
        <w:trPr>
          <w:trHeight w:val="390" w:hRule="auto"/>
          <w:jc w:val="left"/>
        </w:trPr>
        <w:tc>
          <w:tcPr>
            <w:tcW w:w="254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7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ПЖЛФУ</w:t>
            </w:r>
          </w:p>
        </w:tc>
        <w:tc>
          <w:tcPr>
            <w:tcW w:w="113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ДПЛФУ</w:t>
            </w:r>
          </w:p>
        </w:tc>
        <w:tc>
          <w:tcPr>
            <w:tcW w:w="150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146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w:t>
            </w:r>
          </w:p>
        </w:tc>
        <w:tc>
          <w:tcPr>
            <w:tcW w:w="113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r>
      <w:tr>
        <w:trPr>
          <w:trHeight w:val="1" w:hRule="atLeast"/>
          <w:jc w:val="left"/>
        </w:trPr>
        <w:tc>
          <w:tcPr>
            <w:tcW w:w="254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2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325" w:hRule="auto"/>
          <w:jc w:val="left"/>
        </w:trPr>
        <w:tc>
          <w:tcPr>
            <w:tcW w:w="254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2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1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42</w:t>
            </w:r>
          </w:p>
        </w:tc>
        <w:tc>
          <w:tcPr>
            <w:tcW w:w="1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28</w:t>
            </w:r>
          </w:p>
        </w:tc>
        <w:tc>
          <w:tcPr>
            <w:tcW w:w="1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11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548"/>
        <w:gridCol w:w="1274"/>
        <w:gridCol w:w="1133"/>
        <w:gridCol w:w="2972"/>
        <w:gridCol w:w="1133"/>
      </w:tblGrid>
      <w:tr>
        <w:trPr>
          <w:trHeight w:val="352" w:hRule="auto"/>
          <w:jc w:val="left"/>
        </w:trPr>
        <w:tc>
          <w:tcPr>
            <w:tcW w:w="254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7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КЦ</w:t>
            </w:r>
          </w:p>
        </w:tc>
        <w:tc>
          <w:tcPr>
            <w:tcW w:w="113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ЗБМ</w:t>
            </w:r>
          </w:p>
        </w:tc>
        <w:tc>
          <w:tcPr>
            <w:tcW w:w="297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ЦНСТДМУППМГ</w:t>
            </w:r>
          </w:p>
        </w:tc>
        <w:tc>
          <w:tcPr>
            <w:tcW w:w="113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25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2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9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334" w:hRule="auto"/>
          <w:jc w:val="left"/>
        </w:trPr>
        <w:tc>
          <w:tcPr>
            <w:tcW w:w="25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2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11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29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1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157</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Монтана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Монтана е 76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106"/>
        <w:gridCol w:w="4954"/>
      </w:tblGrid>
      <w:tr>
        <w:trPr>
          <w:trHeight w:val="1" w:hRule="atLeast"/>
          <w:jc w:val="left"/>
        </w:trPr>
        <w:tc>
          <w:tcPr>
            <w:tcW w:w="410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rFonts w:ascii="Calibri" w:hAnsi="Calibri" w:cs="Calibri" w:eastAsia="Calibri"/>
                <w:color w:val="auto"/>
                <w:spacing w:val="0"/>
                <w:position w:val="0"/>
                <w:sz w:val="22"/>
                <w:shd w:fill="auto" w:val="clear"/>
              </w:rPr>
            </w:pPr>
          </w:p>
        </w:tc>
        <w:tc>
          <w:tcPr>
            <w:tcW w:w="495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410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495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10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495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10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ЦНСТДМУППМГ</w:t>
            </w:r>
          </w:p>
        </w:tc>
        <w:tc>
          <w:tcPr>
            <w:tcW w:w="495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r>
        <w:trPr>
          <w:trHeight w:val="1" w:hRule="atLeast"/>
          <w:jc w:val="left"/>
        </w:trPr>
        <w:tc>
          <w:tcPr>
            <w:tcW w:w="410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ЦНСТР</w:t>
            </w:r>
          </w:p>
        </w:tc>
        <w:tc>
          <w:tcPr>
            <w:tcW w:w="495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410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w:t>
            </w:r>
          </w:p>
        </w:tc>
        <w:tc>
          <w:tcPr>
            <w:tcW w:w="495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1" w:hRule="atLeast"/>
          <w:jc w:val="left"/>
        </w:trPr>
        <w:tc>
          <w:tcPr>
            <w:tcW w:w="410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ЦНСТУИ</w:t>
            </w:r>
          </w:p>
        </w:tc>
        <w:tc>
          <w:tcPr>
            <w:tcW w:w="495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r>
        <w:trPr>
          <w:trHeight w:val="1" w:hRule="atLeast"/>
          <w:jc w:val="left"/>
        </w:trPr>
        <w:tc>
          <w:tcPr>
            <w:tcW w:w="410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ЦВН</w:t>
            </w:r>
          </w:p>
        </w:tc>
        <w:tc>
          <w:tcPr>
            <w:tcW w:w="495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10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ЗЖПР</w:t>
            </w:r>
          </w:p>
        </w:tc>
        <w:tc>
          <w:tcPr>
            <w:tcW w:w="495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r>
        <w:trPr>
          <w:trHeight w:val="1" w:hRule="atLeast"/>
          <w:jc w:val="left"/>
        </w:trPr>
        <w:tc>
          <w:tcPr>
            <w:tcW w:w="410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ЗЖУИ</w:t>
            </w:r>
          </w:p>
        </w:tc>
        <w:tc>
          <w:tcPr>
            <w:tcW w:w="495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r>
        <w:trPr>
          <w:trHeight w:val="1" w:hRule="atLeast"/>
          <w:jc w:val="left"/>
        </w:trPr>
        <w:tc>
          <w:tcPr>
            <w:tcW w:w="410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495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r>
        <w:trPr>
          <w:trHeight w:val="1" w:hRule="atLeast"/>
          <w:jc w:val="left"/>
        </w:trPr>
        <w:tc>
          <w:tcPr>
            <w:tcW w:w="410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495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26</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Монтана,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Монтана, от други общини е 250.</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106"/>
        <w:gridCol w:w="4954"/>
      </w:tblGrid>
      <w:tr>
        <w:trPr>
          <w:trHeight w:val="1" w:hRule="atLeast"/>
          <w:jc w:val="left"/>
        </w:trPr>
        <w:tc>
          <w:tcPr>
            <w:tcW w:w="410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95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272" w:hRule="auto"/>
          <w:jc w:val="center"/>
        </w:trPr>
        <w:tc>
          <w:tcPr>
            <w:tcW w:w="410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ЦВН</w:t>
            </w:r>
          </w:p>
        </w:tc>
        <w:tc>
          <w:tcPr>
            <w:tcW w:w="495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center" w:pos="4153" w:leader="none"/>
                <w:tab w:val="right" w:pos="8306"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331" w:hRule="auto"/>
          <w:jc w:val="center"/>
        </w:trPr>
        <w:tc>
          <w:tcPr>
            <w:tcW w:w="410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ДЦДУ</w:t>
            </w:r>
          </w:p>
        </w:tc>
        <w:tc>
          <w:tcPr>
            <w:tcW w:w="495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center" w:pos="4153" w:leader="none"/>
                <w:tab w:val="right" w:pos="8306"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312" w:hRule="auto"/>
          <w:jc w:val="center"/>
        </w:trPr>
        <w:tc>
          <w:tcPr>
            <w:tcW w:w="410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ДПЛФУ</w:t>
            </w:r>
          </w:p>
        </w:tc>
        <w:tc>
          <w:tcPr>
            <w:tcW w:w="495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center" w:pos="4153" w:leader="none"/>
                <w:tab w:val="right" w:pos="8306"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w:t>
            </w:r>
          </w:p>
        </w:tc>
      </w:tr>
      <w:tr>
        <w:trPr>
          <w:trHeight w:val="258" w:hRule="auto"/>
          <w:jc w:val="center"/>
        </w:trPr>
        <w:tc>
          <w:tcPr>
            <w:tcW w:w="410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ПРЕХОДНО ЖИЛИЩЕ</w:t>
            </w:r>
          </w:p>
        </w:tc>
        <w:tc>
          <w:tcPr>
            <w:tcW w:w="495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center" w:pos="4153" w:leader="none"/>
                <w:tab w:val="right" w:pos="8306"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312" w:hRule="auto"/>
          <w:jc w:val="center"/>
        </w:trPr>
        <w:tc>
          <w:tcPr>
            <w:tcW w:w="410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 </w:t>
            </w:r>
          </w:p>
        </w:tc>
        <w:tc>
          <w:tcPr>
            <w:tcW w:w="495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center" w:pos="4153" w:leader="none"/>
                <w:tab w:val="right" w:pos="8306"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179</w:t>
            </w:r>
          </w:p>
        </w:tc>
      </w:tr>
      <w:tr>
        <w:trPr>
          <w:trHeight w:val="326" w:hRule="auto"/>
          <w:jc w:val="center"/>
        </w:trPr>
        <w:tc>
          <w:tcPr>
            <w:tcW w:w="410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495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center" w:pos="4153" w:leader="none"/>
                <w:tab w:val="right" w:pos="8306"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258" w:hRule="auto"/>
          <w:jc w:val="center"/>
        </w:trPr>
        <w:tc>
          <w:tcPr>
            <w:tcW w:w="410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ЗЖЛПР</w:t>
            </w:r>
          </w:p>
        </w:tc>
        <w:tc>
          <w:tcPr>
            <w:tcW w:w="495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center" w:pos="4153" w:leader="none"/>
                <w:tab w:val="right" w:pos="8306"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r>
        <w:trPr>
          <w:trHeight w:val="408" w:hRule="auto"/>
          <w:jc w:val="center"/>
        </w:trPr>
        <w:tc>
          <w:tcPr>
            <w:tcW w:w="410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КРИЗИСЕН ЦЕНТЪР</w:t>
            </w:r>
          </w:p>
        </w:tc>
        <w:tc>
          <w:tcPr>
            <w:tcW w:w="495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center" w:pos="4153" w:leader="none"/>
                <w:tab w:val="right" w:pos="8306"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r>
        <w:trPr>
          <w:trHeight w:val="384" w:hRule="auto"/>
          <w:jc w:val="center"/>
        </w:trPr>
        <w:tc>
          <w:tcPr>
            <w:tcW w:w="410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ЗВЕНО МАЙКА И БЕБЕ</w:t>
            </w:r>
          </w:p>
        </w:tc>
        <w:tc>
          <w:tcPr>
            <w:tcW w:w="495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center" w:pos="4153" w:leader="none"/>
                <w:tab w:val="right" w:pos="8306"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418" w:hRule="auto"/>
          <w:jc w:val="center"/>
        </w:trPr>
        <w:tc>
          <w:tcPr>
            <w:tcW w:w="410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ЦНСТДМБУ</w:t>
            </w:r>
          </w:p>
        </w:tc>
        <w:tc>
          <w:tcPr>
            <w:tcW w:w="495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center" w:pos="4153" w:leader="none"/>
                <w:tab w:val="right" w:pos="8306"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411" w:hRule="auto"/>
          <w:jc w:val="center"/>
        </w:trPr>
        <w:tc>
          <w:tcPr>
            <w:tcW w:w="410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495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center" w:pos="4153" w:leader="none"/>
                <w:tab w:val="right" w:pos="8306"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w:t>
            </w:r>
          </w:p>
        </w:tc>
      </w:tr>
      <w:tr>
        <w:trPr>
          <w:trHeight w:val="340" w:hRule="auto"/>
          <w:jc w:val="center"/>
        </w:trPr>
        <w:tc>
          <w:tcPr>
            <w:tcW w:w="410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ЦНСТДМУППМГ</w:t>
            </w:r>
          </w:p>
        </w:tc>
        <w:tc>
          <w:tcPr>
            <w:tcW w:w="495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center" w:pos="4153" w:leader="none"/>
                <w:tab w:val="right" w:pos="8306"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Монтана за последните 5 години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Миграционните процеси, представени от механичното движение на населението в община Монтана се характеризират със задържане равнището на миграционния оборот. Това до голяма степен се дължи на слабите финансови възможности на местното население.</w:t>
      </w:r>
      <w:r>
        <w:rPr>
          <w:rFonts w:ascii="Times New Roman" w:hAnsi="Times New Roman" w:cs="Times New Roman" w:eastAsia="Times New Roman"/>
          <w:color w:val="000000"/>
          <w:spacing w:val="0"/>
          <w:position w:val="0"/>
          <w:sz w:val="24"/>
          <w:shd w:fill="auto" w:val="clear"/>
        </w:rPr>
        <w:t xml:space="preserve"> Отрицателната миграция е продиктувана от икономически причини и най-вече търсене на работни места. Миграцията засяга предимно хора в активна възраст и процесът е свързан с все по-интензивното преразпределение на населението и най-вече струпването му в големите градове за сметка на малките и средни селища. В резултат на механичното изселване допълнително се влошава възрастовата структура на населението във всички общини, което дава негативно отражение върху социално-икономическото развитие на областта.</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r>
        <w:rPr>
          <w:rFonts w:ascii="Times New Roman" w:hAnsi="Times New Roman" w:cs="Times New Roman" w:eastAsia="Times New Roman"/>
          <w:b/>
          <w:color w:val="auto"/>
          <w:spacing w:val="0"/>
          <w:position w:val="0"/>
          <w:sz w:val="24"/>
          <w:shd w:fill="auto" w:val="clear"/>
        </w:rPr>
        <w:t xml:space="preserve">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Налице са 13 незаети щатни бройки за необходими специалисти в социалните услуги, функциониращи на територията на община Монтана. Към момента на изготвянето на анализа в съществуващите социални услуги са назначени управители с нужното образование. Основните специалисти в социалните заведенията на общината притежават необходимата квалификация.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ДБТ регистрирани лица като безработни с предишен опит в социалните услуги са 107 лица, от тях 3 лица с образование в сферата на социалните науки, 4 са регистрираните лица със здравни грижи, 7 социални асистенти и 93 лични асистенти.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Монтана не е изготвила прогноза в анализа за необходимия брой служители за извършване на дейностите по предоставяне на социални и интегрирани здравно-социални услуги с оглед на оптимално им функциониране, във връзка с декомпозирането на съществуващите към момента социални услуги на територията на общината.</w:t>
      </w:r>
    </w:p>
    <w:p>
      <w:pPr>
        <w:keepNext w:val="true"/>
        <w:numPr>
          <w:ilvl w:val="0"/>
          <w:numId w:val="2086"/>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ЧИПРОВЦИ</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са използвани официални източници на информация-</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Общинска администрация Чипровци, ЕСГРАОН;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гр. Чипровци;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Бюро по труда“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филиал гр. Чипровци; статистически база-данни, събирани и редовно актуализирани от институции на областно ниво: РУО на МОН, РЗИ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Монтана; местна комисия за борба с противообществените прояви на малолетни и непълнолетни; данни от анализи, стратегии, програми и планове за развитие на национално, областно и местно ниво.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Чипровци, към 31.12.2021 г. е 3 188 жители, от тях 294 деца до 18-годишна възраст (9,2%). Общият брой на лицата с трайни увреждания е 623, от тях деца 2 (0,3%).</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Чипровци е разкрита Асистентска подкрепа с местонахождение гр. Чипровци и общ капацитет 19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854"/>
        <w:gridCol w:w="4206"/>
      </w:tblGrid>
      <w:tr>
        <w:trPr>
          <w:trHeight w:val="1" w:hRule="atLeast"/>
          <w:jc w:val="left"/>
        </w:trPr>
        <w:tc>
          <w:tcPr>
            <w:tcW w:w="485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20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485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42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85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42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Чипровци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Неприложим критерии.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Чипровци,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Неприложим критерии.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свободни позиции. По данни на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Монтана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филиал Чипровци няма регистрирани безработни лица с медицинско образование, регистрирано е 1 лице с образование в областта на ,,Хуманитарните науки“ и 33 лица с предишен опит в социалните услуги. Община Чипровци е изготвила прогноза за необходимия брой общо 31 служители при декомпозирането и създаването на нови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Чипровци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Един от основните демографски фактори даващи отражение върху числеността на населението  са фактическите параметри на показателите формиращи неговият естествен прираст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раждаемост и смъртност. Анализите и оценките за състоянието и очертаващите се тенденции в естественото движение на населението са важни от гледна точка на стратегическите насоки за развитие на общината. Като цяло естественият прираст на населението в община Чипровци е с отрицателни величини за целия изследван период (2017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2021). </w:t>
      </w:r>
      <w:r>
        <w:rPr>
          <w:rFonts w:ascii="Times New Roman" w:hAnsi="Times New Roman" w:cs="Times New Roman" w:eastAsia="Times New Roman"/>
          <w:color w:val="auto"/>
          <w:spacing w:val="0"/>
          <w:position w:val="0"/>
          <w:sz w:val="24"/>
          <w:shd w:fill="auto" w:val="clear"/>
        </w:rPr>
        <w:t xml:space="preserve">Налице е трайна тенденция към демографски срив.</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2103"/>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 </w:t>
      </w:r>
      <w:r>
        <w:rPr>
          <w:rFonts w:ascii="Times New Roman" w:hAnsi="Times New Roman" w:cs="Times New Roman" w:eastAsia="Times New Roman"/>
          <w:b/>
          <w:color w:val="003366"/>
          <w:spacing w:val="0"/>
          <w:position w:val="0"/>
          <w:sz w:val="24"/>
          <w:shd w:fill="auto" w:val="clear"/>
        </w:rPr>
        <w:t xml:space="preserve">ОБЩИНА ЯКИМОВО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са използвани официални източници на информация- Документално проучване на съществуващи анализи, доклади, стратегически документи на областната и местната администрация (като стратегии, дългосрочни програми и планове за развитие); Систематизиране и обобщаване на статистически данни, събирани от общинската администрация.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Якимово, към 31.12.2021 г. е 4 095 жители, от тях 795 деца до 18-годишна възраст (19,4%). Общият брой на лицата с трайни увреждания е 425, от тях деца 16 (3,8%).</w:t>
      </w:r>
    </w:p>
    <w:p>
      <w:pPr>
        <w:spacing w:before="0" w:after="0" w:line="240"/>
        <w:ind w:right="-428"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Якимово функционира Асистентска подкрепа с местонахождение с. Якимово и капацитет 14 потребители.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782"/>
        <w:gridCol w:w="4278"/>
      </w:tblGrid>
      <w:tr>
        <w:trPr>
          <w:trHeight w:val="1" w:hRule="atLeast"/>
          <w:jc w:val="left"/>
        </w:trPr>
        <w:tc>
          <w:tcPr>
            <w:tcW w:w="478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rFonts w:ascii="Calibri" w:hAnsi="Calibri" w:cs="Calibri" w:eastAsia="Calibri"/>
                <w:color w:val="auto"/>
                <w:spacing w:val="0"/>
                <w:position w:val="0"/>
                <w:sz w:val="22"/>
                <w:shd w:fill="auto" w:val="clear"/>
              </w:rPr>
            </w:pPr>
          </w:p>
        </w:tc>
        <w:tc>
          <w:tcPr>
            <w:tcW w:w="427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478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42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78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42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Якимово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социалната услуга Асистентска подкрепа на територията на община Якимово са 2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671"/>
        <w:gridCol w:w="4389"/>
      </w:tblGrid>
      <w:tr>
        <w:trPr>
          <w:trHeight w:val="336" w:hRule="auto"/>
          <w:jc w:val="left"/>
        </w:trPr>
        <w:tc>
          <w:tcPr>
            <w:tcW w:w="467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438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336" w:hRule="auto"/>
          <w:jc w:val="left"/>
        </w:trPr>
        <w:tc>
          <w:tcPr>
            <w:tcW w:w="467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438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bl>
    <w:p>
      <w:pPr>
        <w:spacing w:before="0" w:after="6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Якимово, различна от  общината по настоящ адрес</w:t>
      </w:r>
    </w:p>
    <w:p>
      <w:pPr>
        <w:spacing w:before="0" w:after="60" w:line="240"/>
        <w:ind w:right="-428"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Неприложимо за община Якимово.</w:t>
      </w:r>
    </w:p>
    <w:p>
      <w:pPr>
        <w:spacing w:before="0" w:after="60" w:line="240"/>
        <w:ind w:right="-428"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Якимово за последните 5 години</w:t>
      </w:r>
    </w:p>
    <w:p>
      <w:pPr>
        <w:spacing w:before="120" w:after="12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През последните години са отчетени неблагоприятни характеристики на демографските процеси - наблюдават се тенденции за намаляване числеността на населението. Този процес може да бъде обяснен с намалената раждаемост и увеличена смъртност. Общината не е посочила информация по показателите заселени и изселени. Всички други фактори са причина за спада в естествения прираст на населението и за задълбочаващата се демографска криза в рамките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незаети длъжности и свободни места. По данни на ДБТ от регистрираните лица, като активно търсещи работа няма такива с образование с подходящо образование и/или предишен опит в предоставянето на социалните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Якимово, функционира само 1 социална услуга- АП. Общината не е изготвила прогноза за необходимия брой служители при създаването на нови социални услуги.</w:t>
      </w:r>
    </w:p>
    <w:p>
      <w:pPr>
        <w:keepNext w:val="true"/>
        <w:numPr>
          <w:ilvl w:val="0"/>
          <w:numId w:val="2129"/>
        </w:numPr>
        <w:tabs>
          <w:tab w:val="left" w:pos="718" w:leader="none"/>
        </w:tabs>
        <w:spacing w:before="360" w:after="120" w:line="240"/>
        <w:ind w:right="0" w:left="718"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АНАЛИЗ НА ПОТРЕБНОСТИТЕ В ОБЛАСТ МОНТАНА (обобщено)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обобщени за област Монтана по общини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общините от област Монтана информацията за настоящия анализ е съгласно Наредбата за планиране на социалните услуги е получена от НСИ, информационна система ГРАО на общините,</w:t>
      </w:r>
      <w:r>
        <w:rPr>
          <w:rFonts w:ascii="Times New Roman" w:hAnsi="Times New Roman" w:cs="Times New Roman" w:eastAsia="Times New Roman"/>
          <w:color w:val="FF0000"/>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систематизиране и обобщаване на статистически данни, събирани от общинската администрация, анализ на данни за здравно неосигурени лица, получени от общопрактикуващите лекари в общината, НЕЛК, РЗИ, РДСП; Плановете за интегрирано развитие на Общините,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от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 РУО на МОН, кметовете и кметските наместници на населените места; комисия за борба с противообществените прояви на малолетни и непълнолетни, план за интегрирано развитие на общините.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област Монтана, към 31.12.2021 г. е 142 658 жители, от тях 23 853 деца до 18-годишна възраст (16,7%), броят на пълнолетните лица е 118 805 (83,3%). Общия брой на лицата с трайни увреждания е 18 278, от тях деца 1 046 (5,7%).</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708"/>
        <w:jc w:val="both"/>
        <w:rPr>
          <w:rFonts w:ascii="Times New Roman" w:hAnsi="Times New Roman" w:cs="Times New Roman" w:eastAsia="Times New Roman"/>
          <w:color w:val="FF0000"/>
          <w:spacing w:val="0"/>
          <w:position w:val="0"/>
          <w:sz w:val="24"/>
          <w:shd w:fill="auto" w:val="clear"/>
        </w:rPr>
      </w:pPr>
    </w:p>
    <w:p>
      <w:pPr>
        <w:spacing w:before="0" w:after="60" w:line="240"/>
        <w:ind w:right="0" w:left="0" w:firstLine="708"/>
        <w:jc w:val="both"/>
        <w:rPr>
          <w:rFonts w:ascii="Times New Roman" w:hAnsi="Times New Roman" w:cs="Times New Roman" w:eastAsia="Times New Roman"/>
          <w:color w:val="FF0000"/>
          <w:spacing w:val="0"/>
          <w:position w:val="0"/>
          <w:sz w:val="24"/>
          <w:shd w:fill="auto" w:val="clear"/>
        </w:rPr>
      </w:pPr>
    </w:p>
    <w:p>
      <w:pPr>
        <w:spacing w:before="0" w:after="60" w:line="240"/>
        <w:ind w:right="0" w:left="0" w:firstLine="708"/>
        <w:jc w:val="both"/>
        <w:rPr>
          <w:rFonts w:ascii="Times New Roman" w:hAnsi="Times New Roman" w:cs="Times New Roman" w:eastAsia="Times New Roman"/>
          <w:color w:val="FF0000"/>
          <w:spacing w:val="0"/>
          <w:position w:val="0"/>
          <w:sz w:val="24"/>
          <w:shd w:fill="auto" w:val="clear"/>
        </w:rPr>
      </w:pPr>
    </w:p>
    <w:p>
      <w:pPr>
        <w:spacing w:before="0" w:after="60" w:line="240"/>
        <w:ind w:right="0" w:left="0" w:firstLine="708"/>
        <w:jc w:val="both"/>
        <w:rPr>
          <w:rFonts w:ascii="Times New Roman" w:hAnsi="Times New Roman" w:cs="Times New Roman" w:eastAsia="Times New Roman"/>
          <w:color w:val="FF0000"/>
          <w:spacing w:val="0"/>
          <w:position w:val="0"/>
          <w:sz w:val="24"/>
          <w:shd w:fill="auto" w:val="clear"/>
        </w:rPr>
      </w:pPr>
    </w:p>
    <w:p>
      <w:pPr>
        <w:spacing w:before="0" w:after="60" w:line="240"/>
        <w:ind w:right="0" w:left="0" w:firstLine="708"/>
        <w:jc w:val="both"/>
        <w:rPr>
          <w:rFonts w:ascii="Times New Roman" w:hAnsi="Times New Roman" w:cs="Times New Roman" w:eastAsia="Times New Roman"/>
          <w:color w:val="FF0000"/>
          <w:spacing w:val="0"/>
          <w:position w:val="0"/>
          <w:sz w:val="24"/>
          <w:shd w:fill="auto" w:val="clear"/>
        </w:rPr>
      </w:pPr>
    </w:p>
    <w:p>
      <w:pPr>
        <w:spacing w:before="0" w:after="60" w:line="240"/>
        <w:ind w:right="0" w:left="0" w:firstLine="708"/>
        <w:jc w:val="both"/>
        <w:rPr>
          <w:rFonts w:ascii="Times New Roman" w:hAnsi="Times New Roman" w:cs="Times New Roman" w:eastAsia="Times New Roman"/>
          <w:color w:val="FF0000"/>
          <w:spacing w:val="0"/>
          <w:position w:val="0"/>
          <w:sz w:val="24"/>
          <w:shd w:fill="auto" w:val="clear"/>
        </w:rPr>
      </w:pPr>
    </w:p>
    <w:p>
      <w:pPr>
        <w:spacing w:before="0" w:after="60" w:line="240"/>
        <w:ind w:right="0" w:left="0" w:firstLine="708"/>
        <w:jc w:val="both"/>
        <w:rPr>
          <w:rFonts w:ascii="Times New Roman" w:hAnsi="Times New Roman" w:cs="Times New Roman" w:eastAsia="Times New Roman"/>
          <w:color w:val="FF0000"/>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FF0000"/>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FF0000"/>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FF0000"/>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FF0000"/>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426"/>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426"/>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426"/>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426"/>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426"/>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426"/>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426"/>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426"/>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426"/>
        <w:jc w:val="both"/>
        <w:rPr>
          <w:rFonts w:ascii="Times New Roman" w:hAnsi="Times New Roman" w:cs="Times New Roman" w:eastAsia="Times New Roman"/>
          <w:color w:val="FF0000"/>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областта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брои на социалните услуги на територията на област Монтана е 53 с 1 588 потребители. Броят на социалните услуги за пълнолетни лица е 35 с 1 175 потребители.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за деца са 18 със 413 потребители.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графиките е видно, че на територията на областта преобладават услугите за резидентна грижа (ЗЖЛУИ, ЗЖЛПР, ПЖЛФУ, КЦ, ЦНСТПЛУИ, ЦВН, ЦНСТПЛПР, ЦНСТПЛФУ, ЦНСТПЛУ, ЦНСТДМУ, ЦНСТДБУ,</w:t>
      </w:r>
      <w:r>
        <w:rPr>
          <w:rFonts w:ascii="Times New Roman" w:hAnsi="Times New Roman" w:cs="Times New Roman" w:eastAsia="Times New Roman"/>
          <w:color w:val="FF0000"/>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ЦНСТДМБУ, ЦНСТДМУППМГ,</w:t>
      </w:r>
      <w:r>
        <w:rPr>
          <w:rFonts w:ascii="Times New Roman" w:hAnsi="Times New Roman" w:cs="Times New Roman" w:eastAsia="Times New Roman"/>
          <w:color w:val="FF0000"/>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ЗМБ) - 23 услуги за 252 потребители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услугите в домашна среда (АП)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11 </w:t>
      </w:r>
      <w:r>
        <w:rPr>
          <w:rFonts w:ascii="Times New Roman" w:hAnsi="Times New Roman" w:cs="Times New Roman" w:eastAsia="Times New Roman"/>
          <w:color w:val="auto"/>
          <w:spacing w:val="0"/>
          <w:position w:val="0"/>
          <w:sz w:val="24"/>
          <w:shd w:fill="auto" w:val="clear"/>
        </w:rPr>
        <w:t xml:space="preserve">услуги за 498 потребители, услугите в специализирани институции за пълнолетни лица (ДПЛД, ДПЛФУ, ДСХ, ДПЛСУ) - 6 услуги за 374 потребители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консултативни услуги (ДЦПЛУ, ДЦСХ, ЦСРИ, ДЦДУ, ЦОП)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13 </w:t>
      </w:r>
      <w:r>
        <w:rPr>
          <w:rFonts w:ascii="Times New Roman" w:hAnsi="Times New Roman" w:cs="Times New Roman" w:eastAsia="Times New Roman"/>
          <w:color w:val="auto"/>
          <w:spacing w:val="0"/>
          <w:position w:val="0"/>
          <w:sz w:val="24"/>
          <w:shd w:fill="auto" w:val="clear"/>
        </w:rPr>
        <w:t xml:space="preserve">услуги за 464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 социални услуги на територията на област Монтана</w:t>
      </w:r>
    </w:p>
    <w:tbl>
      <w:tblPr/>
      <w:tblGrid>
        <w:gridCol w:w="4590"/>
        <w:gridCol w:w="4470"/>
      </w:tblGrid>
      <w:tr>
        <w:trPr>
          <w:trHeight w:val="1" w:hRule="atLeast"/>
          <w:jc w:val="left"/>
        </w:trPr>
        <w:tc>
          <w:tcPr>
            <w:tcW w:w="459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447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459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44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90</w:t>
            </w:r>
          </w:p>
        </w:tc>
      </w:tr>
      <w:tr>
        <w:trPr>
          <w:trHeight w:val="1" w:hRule="atLeast"/>
          <w:jc w:val="left"/>
        </w:trPr>
        <w:tc>
          <w:tcPr>
            <w:tcW w:w="459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44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97</w:t>
            </w:r>
          </w:p>
        </w:tc>
      </w:tr>
      <w:tr>
        <w:trPr>
          <w:trHeight w:val="1" w:hRule="atLeast"/>
          <w:jc w:val="left"/>
        </w:trPr>
        <w:tc>
          <w:tcPr>
            <w:tcW w:w="459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ДЦСХ</w:t>
            </w:r>
          </w:p>
        </w:tc>
        <w:tc>
          <w:tcPr>
            <w:tcW w:w="44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r>
      <w:tr>
        <w:trPr>
          <w:trHeight w:val="1" w:hRule="atLeast"/>
          <w:jc w:val="left"/>
        </w:trPr>
        <w:tc>
          <w:tcPr>
            <w:tcW w:w="459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44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59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44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59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ЦНСТДМУППМГ</w:t>
            </w:r>
          </w:p>
        </w:tc>
        <w:tc>
          <w:tcPr>
            <w:tcW w:w="44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r>
        <w:trPr>
          <w:trHeight w:val="1" w:hRule="atLeast"/>
          <w:jc w:val="left"/>
        </w:trPr>
        <w:tc>
          <w:tcPr>
            <w:tcW w:w="459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44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r>
      <w:tr>
        <w:trPr>
          <w:trHeight w:val="1" w:hRule="atLeast"/>
          <w:jc w:val="left"/>
        </w:trPr>
        <w:tc>
          <w:tcPr>
            <w:tcW w:w="459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ЦВН</w:t>
            </w:r>
          </w:p>
        </w:tc>
        <w:tc>
          <w:tcPr>
            <w:tcW w:w="44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59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ЦНСТПЛД</w:t>
            </w:r>
          </w:p>
        </w:tc>
        <w:tc>
          <w:tcPr>
            <w:tcW w:w="44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1" w:hRule="atLeast"/>
          <w:jc w:val="left"/>
        </w:trPr>
        <w:tc>
          <w:tcPr>
            <w:tcW w:w="459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44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209</w:t>
            </w:r>
          </w:p>
        </w:tc>
      </w:tr>
      <w:tr>
        <w:trPr>
          <w:trHeight w:val="1" w:hRule="atLeast"/>
          <w:jc w:val="left"/>
        </w:trPr>
        <w:tc>
          <w:tcPr>
            <w:tcW w:w="459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44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181</w:t>
            </w:r>
          </w:p>
        </w:tc>
      </w:tr>
      <w:tr>
        <w:trPr>
          <w:trHeight w:val="1" w:hRule="atLeast"/>
          <w:jc w:val="left"/>
        </w:trPr>
        <w:tc>
          <w:tcPr>
            <w:tcW w:w="459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ЦНСТПЛФУ</w:t>
            </w:r>
          </w:p>
        </w:tc>
        <w:tc>
          <w:tcPr>
            <w:tcW w:w="44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r>
      <w:tr>
        <w:trPr>
          <w:trHeight w:val="1" w:hRule="atLeast"/>
          <w:jc w:val="left"/>
        </w:trPr>
        <w:tc>
          <w:tcPr>
            <w:tcW w:w="459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ЗЖЛПР</w:t>
            </w:r>
          </w:p>
        </w:tc>
        <w:tc>
          <w:tcPr>
            <w:tcW w:w="44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99</w:t>
            </w:r>
          </w:p>
        </w:tc>
      </w:tr>
      <w:tr>
        <w:trPr>
          <w:trHeight w:val="1" w:hRule="atLeast"/>
          <w:jc w:val="left"/>
        </w:trPr>
        <w:tc>
          <w:tcPr>
            <w:tcW w:w="459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44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28</w:t>
            </w:r>
          </w:p>
        </w:tc>
      </w:tr>
      <w:tr>
        <w:trPr>
          <w:trHeight w:val="1" w:hRule="atLeast"/>
          <w:jc w:val="left"/>
        </w:trPr>
        <w:tc>
          <w:tcPr>
            <w:tcW w:w="459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Общо</w:t>
            </w:r>
          </w:p>
        </w:tc>
        <w:tc>
          <w:tcPr>
            <w:tcW w:w="44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783</w:t>
            </w:r>
          </w:p>
        </w:tc>
      </w:tr>
    </w:tbl>
    <w:p>
      <w:pPr>
        <w:spacing w:before="0" w:after="6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Общо 783 лица са включени в списъците на чакащите за ползване на социални услуги в териториалния обхват на област Монтана. Най-голям брой чакащи има за включване в социалната услуга Център за настаняване на пълнолетни лица с психични разстройства, където само за община Лом са 206 чакащи потребители и за включване в Център за настаняване от семеен тип за пълнолетни лица с умствена изостаналост, където за община Берковица са 173 чакащи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област Монтана,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и интегрирани здравно-социални услуги на територията на област Монтана, различна от общината по настоящ адрес е 661. Най-голям е техният брой в социалните услуги на територията на общините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Берковица и Монтана, следвани от общините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Лом, Брусарци Бойчиновци и Георги Дамяново. В общините Вълчедръм, Медковец, Чипровци и Якимово няма желаещи да ползват услугите на територията на област Монтана. В общините Чипровци и Якимово се предоставя единствено Асистентска подкрепа и потребителите са от съответната община.</w:t>
      </w:r>
    </w:p>
    <w:p>
      <w:pPr>
        <w:spacing w:before="0" w:after="0" w:line="259"/>
        <w:ind w:right="0" w:left="0" w:firstLine="0"/>
        <w:jc w:val="both"/>
        <w:rPr>
          <w:rFonts w:ascii="Times New Roman" w:hAnsi="Times New Roman" w:cs="Times New Roman" w:eastAsia="Times New Roman"/>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област Монтана за последните 5 години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Анализа на данните на демографското развитие в област Монтана за периода 2021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2017 </w:t>
      </w:r>
      <w:r>
        <w:rPr>
          <w:rFonts w:ascii="Times New Roman" w:hAnsi="Times New Roman" w:cs="Times New Roman" w:eastAsia="Times New Roman"/>
          <w:color w:val="auto"/>
          <w:spacing w:val="0"/>
          <w:position w:val="0"/>
          <w:sz w:val="24"/>
          <w:shd w:fill="auto" w:val="clear"/>
        </w:rPr>
        <w:t xml:space="preserve">г. показва тенденция към намаление на броя на населението във всички общини, с изключение на община Вършец.</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През последните години се формира трайна тенденция за намаляване на населението на област Монтана. В резултат на извършването социални, икономически и политически промени на условията на живот, в общините от областта са настъпили съществени промени в демографското положение на населението, които са довели до намаление на неговия естествен прираст. За задълбочаване на демографската криза влияние оказва и интензивното придвижване на населението към София и големите градове на страната, както и извън границите на България.</w:t>
      </w:r>
      <w:r>
        <w:rPr>
          <w:rFonts w:ascii="Times New Roman" w:hAnsi="Times New Roman" w:cs="Times New Roman" w:eastAsia="Times New Roman"/>
          <w:color w:val="FF0000"/>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Наблюдава се устойчива тенденция към емиграция и обезлюдяване. Висок е броя на хората с увреждания, както и на самотно живеещите стари хора от селата в общината, с невъзможност за самообслужване.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Всички тези фактори, показват че на територията на областта населението застарява и има необходимост от социални услуги за резидентна грижа и услуги в домашна среда. Към настоящия момент всички общини имат ползватели на Асистентска подкрепа с оглед осигуряване на възможност за грижа и подкрепа на по-голяма част от уязвимите групи на населението в областта. Предизвикателство пред общините е и миграцията на населението в трудоспособна възраст към други европейски страни, което създава сериозни рискове за децата от тези семейства по отношение на пълноценната родителска грижа, образованието и развитието им.</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По-голяма част от социалните услуги в областта са обезпечени със служители, необходими за предоставянето им. Изключение се наблюдава в община Георги Дамяново. Общините са използвали различни възможности за наемане на необходимите служители за извършване на дейностите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специалисти се търсят както в Дирекции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Бюра по труда“, така и на свободния пазар, като на работа се наемат и пенсионери, доброволци, стажанти или външни специалисти. На база на предоставената от общините информация за заетостта на служителите в социалните услуги, се очертава тенденция за недостиг на основни специалисти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логопед,</w:t>
      </w:r>
      <w:r>
        <w:rPr>
          <w:rFonts w:ascii="Times New Roman" w:hAnsi="Times New Roman" w:cs="Times New Roman" w:eastAsia="Times New Roman"/>
          <w:color w:val="FF0000"/>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социални работници и </w:t>
      </w:r>
      <w:r>
        <w:rPr>
          <w:rFonts w:ascii="Times New Roman" w:hAnsi="Times New Roman" w:cs="Times New Roman" w:eastAsia="Times New Roman"/>
          <w:color w:val="000000"/>
          <w:spacing w:val="0"/>
          <w:position w:val="0"/>
          <w:sz w:val="24"/>
          <w:shd w:fill="auto" w:val="clear"/>
        </w:rPr>
        <w:t xml:space="preserve">медицински специалисти. Проблем се явява наемането на социални работници с висше образование, поради което в част от социалните услуги са наети сътрудници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социална работа, със средно образование, а 90% от медицинските специалисти работещи в социалните услуги са в пенсионна възраст. Както и </w:t>
      </w:r>
      <w:r>
        <w:rPr>
          <w:rFonts w:ascii="Times New Roman" w:hAnsi="Times New Roman" w:cs="Times New Roman" w:eastAsia="Times New Roman"/>
          <w:color w:val="auto"/>
          <w:spacing w:val="0"/>
          <w:position w:val="0"/>
          <w:sz w:val="24"/>
          <w:shd w:fill="auto" w:val="clear"/>
        </w:rPr>
        <w:t xml:space="preserve">огромно затруднение е недостатъчните специалисти от общините, които да осигуряват качествена грижа, за което се наемат служители, които пътуват от други общини в областта.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Общините Брусарци, Вълчедръм, Вършец, Медковец, Монтана, Чипровци и Якимово са обезпечени с необходимия брой квалифицирани специалисти.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Една от предпоставките за ефективност на социалните услуги е наличието на квалифициран и мотивиран персонал. Развитието и обучението на човешките ресурси в тази област е важна предпоставка за качествени услуги, които да съдействат за повишаване и качеството на живот на отделните индивиди, семейства и групи.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Общините Бойчиновци, Вълчедръм, Монтана и Якимово не са извели прогнозна потребност за необходимия им персонал за функциониране на социалните услуги след трансформирането на съществуващите социални услуги и декомпозирането им по дейности, съгласно чл.15 от Закон за социалните услуги, както и въз основа на определените минимални изисквания в стандартите за качество на социалните услуги, касаещи броя и квалификацията на необходимите служители.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Монтана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са ключов фактор за ефективно социално включване и участие в живота на обществото на всички групи лица, които имат необходимост от подкрепа. Във основа на направения анализ на състоянието на социалните услуги на територията на областта и очерталите се тенденции, могат да се направят следните изводи: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има голям брой социални услуги за резидентна грижа за пълнолетни лица, но броят им е недостатъчен за задоволяване на потребностите на жителите на областта;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Недостатъчен е броят на услугите за дневна и почасова грижа и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 се възприема ролята на социалните услуги като дейности, насочени към социално включване и стимулиране за водене на независим начин на живот;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няма интегрирани здравно-социални услуги за деца и пълнолетни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Осигуряването на равен достъп до услуги на всички нуждаещи се чрез планиране на социални услуги, съгласно реалните потребности и нужди и равномерно разпределение на социалните услуги на територията на област Монтана са съществена част от политиките на областната и общинските администрации. </w:t>
      </w:r>
    </w:p>
    <w:p>
      <w:pPr>
        <w:keepNext w:val="true"/>
        <w:numPr>
          <w:ilvl w:val="0"/>
          <w:numId w:val="2176"/>
        </w:numPr>
        <w:tabs>
          <w:tab w:val="left" w:pos="718" w:leader="none"/>
        </w:tabs>
        <w:spacing w:before="360" w:after="120" w:line="240"/>
        <w:ind w:right="0" w:left="718" w:hanging="576"/>
        <w:jc w:val="both"/>
        <w:rPr>
          <w:rFonts w:ascii="Times New Roman" w:hAnsi="Times New Roman" w:cs="Times New Roman" w:eastAsia="Times New Roman"/>
          <w:b/>
          <w:color w:val="003366"/>
          <w:spacing w:val="0"/>
          <w:position w:val="0"/>
          <w:sz w:val="28"/>
          <w:shd w:fill="auto" w:val="clear"/>
        </w:rPr>
      </w:pPr>
      <w:r>
        <w:rPr>
          <w:rFonts w:ascii="Times New Roman" w:hAnsi="Times New Roman" w:cs="Times New Roman" w:eastAsia="Times New Roman"/>
          <w:b/>
          <w:color w:val="003366"/>
          <w:spacing w:val="0"/>
          <w:position w:val="0"/>
          <w:sz w:val="28"/>
          <w:shd w:fill="auto" w:val="clear"/>
        </w:rPr>
        <w:t xml:space="preserve">ОБЛАСТ ПЛЕВЕН</w:t>
      </w:r>
    </w:p>
    <w:p>
      <w:pPr>
        <w:keepNext w:val="true"/>
        <w:numPr>
          <w:ilvl w:val="0"/>
          <w:numId w:val="2176"/>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БЕЛЕНЕ</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Белене източниците на информация  за структуриране на анализа е получена от  Дирекция АПИО- общ. Белене, Териториално поделение на НСИ, Дирекция “Социално подпомагане“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Белене, Дирекция “Бюро по труда“. </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Белене, към 31.12.2021 г. е 7803 жители, от тях 868 деца до 18-годишна възраст (</w:t>
      </w:r>
      <w:r>
        <w:rPr>
          <w:rFonts w:ascii="Times New Roman" w:hAnsi="Times New Roman" w:cs="Times New Roman" w:eastAsia="Times New Roman"/>
          <w:i/>
          <w:color w:val="auto"/>
          <w:spacing w:val="0"/>
          <w:position w:val="0"/>
          <w:sz w:val="24"/>
          <w:shd w:fill="auto" w:val="clear"/>
        </w:rPr>
        <w:t xml:space="preserve">11,1%). </w:t>
      </w:r>
      <w:r>
        <w:rPr>
          <w:rFonts w:ascii="Times New Roman" w:hAnsi="Times New Roman" w:cs="Times New Roman" w:eastAsia="Times New Roman"/>
          <w:color w:val="auto"/>
          <w:spacing w:val="0"/>
          <w:position w:val="0"/>
          <w:sz w:val="24"/>
          <w:shd w:fill="auto" w:val="clear"/>
        </w:rPr>
        <w:t xml:space="preserve">Общия брой на лицата с трайни увреждания е 891, от тях деца 18 (2 %). </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Белене са разкрити 3 социални услуги. Общият капацитет на социалните услуги е за 80 потребители, в т.ч. 30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387"/>
        <w:gridCol w:w="1700"/>
        <w:gridCol w:w="1558"/>
        <w:gridCol w:w="1415"/>
      </w:tblGrid>
      <w:tr>
        <w:trPr>
          <w:trHeight w:val="1" w:hRule="atLeast"/>
          <w:jc w:val="left"/>
        </w:trPr>
        <w:tc>
          <w:tcPr>
            <w:tcW w:w="438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7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155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w:t>
            </w:r>
          </w:p>
        </w:tc>
        <w:tc>
          <w:tcPr>
            <w:tcW w:w="141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43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7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5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3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7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c>
          <w:tcPr>
            <w:tcW w:w="155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c>
          <w:tcPr>
            <w:tcW w:w="14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r>
    </w:tbl>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Белене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Видно от посочените данни, за услугите, които се предоставят на общинско ниво има регистрирани чакащи 8 лица в социалната услуга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tbl>
      <w:tblPr/>
      <w:tblGrid>
        <w:gridCol w:w="4492"/>
        <w:gridCol w:w="4568"/>
      </w:tblGrid>
      <w:tr>
        <w:trPr>
          <w:trHeight w:val="1" w:hRule="atLeast"/>
          <w:jc w:val="left"/>
        </w:trPr>
        <w:tc>
          <w:tcPr>
            <w:tcW w:w="449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456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449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Асистентска подкрепа</w:t>
            </w:r>
          </w:p>
        </w:tc>
        <w:tc>
          <w:tcPr>
            <w:tcW w:w="456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Белене, различна от общината по настоящ адрес</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социалните услуги на територията на община Белене няма лица от други общини, които ползват социални услуги и интегрирани здравно-социални услуги.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Белене за последните 5 години</w:t>
      </w:r>
    </w:p>
    <w:p>
      <w:pPr>
        <w:tabs>
          <w:tab w:val="left" w:pos="709" w:leader="none"/>
        </w:tabs>
        <w:suppressAutoHyphens w:val="true"/>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Графиката показва, намаление на общия брой на населението с тенденция към застаряване, ниска раждаемост, висока смъртност и отрицателен естествен прираст. Устойчива е тенденцията към емиграция и обезлюдяване на общината.</w:t>
      </w:r>
    </w:p>
    <w:p>
      <w:pPr>
        <w:tabs>
          <w:tab w:val="left" w:pos="709" w:leader="none"/>
        </w:tabs>
        <w:suppressAutoHyphens w:val="true"/>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Белене е успяла да обезпечи необходимите специалисти в сферата на социалните услуги. Няма незаети щатни бройки в социалните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Белене в качеството си на доставчик на социални услуги, изпълнява задълженията си за осигуряване на професионално и кариерно развитие на служителите, работещи в социалните услуги, функциониращи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планирането на нови социални услуги, Община Белене ще изготви длъжностно щатно разписание според определения капацитет и изискванията на Наредбата за качество на социалните услуги.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Белене не е изготвила прогноза в анализа за необходимия брой служители за извършване на дейностите по предоставяне на социални и интегрирани здравно-социални услуги</w:t>
      </w:r>
      <w:r>
        <w:rPr>
          <w:rFonts w:ascii="Times New Roman" w:hAnsi="Times New Roman" w:cs="Times New Roman" w:eastAsia="Times New Roman"/>
          <w:color w:val="000000"/>
          <w:spacing w:val="0"/>
          <w:position w:val="0"/>
          <w:sz w:val="24"/>
          <w:shd w:fill="auto" w:val="clear"/>
        </w:rPr>
        <w:t xml:space="preserve"> с оглед на оптимално функциониране на социалните и интегрираните здравно-социални услуги</w:t>
      </w:r>
      <w:r>
        <w:rPr>
          <w:rFonts w:ascii="Times New Roman" w:hAnsi="Times New Roman" w:cs="Times New Roman" w:eastAsia="Times New Roman"/>
          <w:color w:val="auto"/>
          <w:spacing w:val="0"/>
          <w:position w:val="0"/>
          <w:sz w:val="24"/>
          <w:shd w:fill="auto" w:val="clear"/>
        </w:rPr>
        <w:t xml:space="preserve">, в</w:t>
      </w:r>
      <w:r>
        <w:rPr>
          <w:rFonts w:ascii="Times New Roman" w:hAnsi="Times New Roman" w:cs="Times New Roman" w:eastAsia="Times New Roman"/>
          <w:color w:val="000000"/>
          <w:spacing w:val="0"/>
          <w:position w:val="0"/>
          <w:sz w:val="24"/>
          <w:shd w:fill="auto" w:val="clear"/>
        </w:rPr>
        <w:t xml:space="preserve">ъв връзка с декомпозирането на съществуващите към момента 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2202"/>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ГУЛЯНЦИ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Гулянци. Източниците на информация за структуриране на анализа са:</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ГРАО на МРРБ, Националният статистически институт; органи, които по силата на закон имат право да събират и администрират съответните данни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Никопол,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 Долна Митрополия и др.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Анализът обхваща периода 2017-2021 година.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Гулянци общият брой на населението, към 31.12.2021 г. е 11022 жители, от тях 1387 деца до 18-годишна възраст (12,6 %). Общия брой на лицата с трайни увреждания е 1726, от тях деца 19 (1,1 %).</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Гулянци за последните 5 години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Гулянци са разкрити 2 социални услуги. Общият капацитет на социалната услуга е за 106 потребители, в това число и 86 потребители на социалната услуга АП.</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6373"/>
        <w:gridCol w:w="1274"/>
        <w:gridCol w:w="1413"/>
      </w:tblGrid>
      <w:tr>
        <w:trPr>
          <w:trHeight w:val="276" w:hRule="auto"/>
          <w:jc w:val="left"/>
        </w:trPr>
        <w:tc>
          <w:tcPr>
            <w:tcW w:w="637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27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141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276" w:hRule="auto"/>
          <w:jc w:val="left"/>
        </w:trPr>
        <w:tc>
          <w:tcPr>
            <w:tcW w:w="637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2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276" w:hRule="auto"/>
          <w:jc w:val="left"/>
        </w:trPr>
        <w:tc>
          <w:tcPr>
            <w:tcW w:w="637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2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4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86</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Гулянци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Гулянци е 69 лица.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 </w:t>
      </w:r>
    </w:p>
    <w:tbl>
      <w:tblPr/>
      <w:tblGrid>
        <w:gridCol w:w="4969"/>
        <w:gridCol w:w="4091"/>
      </w:tblGrid>
      <w:tr>
        <w:trPr>
          <w:trHeight w:val="1" w:hRule="atLeast"/>
          <w:jc w:val="left"/>
        </w:trPr>
        <w:tc>
          <w:tcPr>
            <w:tcW w:w="496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409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496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Асистентска подкрепа</w:t>
            </w:r>
          </w:p>
        </w:tc>
        <w:tc>
          <w:tcPr>
            <w:tcW w:w="40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69</w:t>
            </w:r>
          </w:p>
        </w:tc>
      </w:tr>
    </w:tbl>
    <w:p>
      <w:pPr>
        <w:spacing w:before="0" w:after="0" w:line="240"/>
        <w:ind w:right="0" w:left="0" w:firstLine="709"/>
        <w:jc w:val="both"/>
        <w:rPr>
          <w:rFonts w:ascii="Times New Roman" w:hAnsi="Times New Roman" w:cs="Times New Roman" w:eastAsia="Times New Roman"/>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Гулянци, различна от общината по настоящ адрес</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потребители с различен от общината адрес на социални и интегрирани здравно-социални услуги на територията на община Гулянци.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Гулянци за последните 5 години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Графиката показва, намаление на общия брой на населението на общината. Високите стойности на смъртността и относително невисоките стойности на раждаемост водят до отрицателен естествен прираст за територията на община Гулянци. Показателите за механичния прираст на населението показват запазване на тенденцията за увеличаване на външните миграции, предизвикани от лошата икономическа обстановка и високия процент на безработица.</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 община Гулянци няма незаети позиции в социалните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 данни на Дирекция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Бюро по труда”- гр. Долна Митрополия </w:t>
      </w:r>
      <w:r>
        <w:rPr>
          <w:rFonts w:ascii="Times New Roman" w:hAnsi="Times New Roman" w:cs="Times New Roman" w:eastAsia="Times New Roman"/>
          <w:color w:val="auto"/>
          <w:spacing w:val="0"/>
          <w:position w:val="0"/>
          <w:sz w:val="24"/>
          <w:shd w:fill="auto" w:val="clear"/>
        </w:rPr>
        <w:t xml:space="preserve">е установено, че регистрирани, търсещи работа лица с медицинско образование: медицински сестри, рехабилитатори и др. има 1 безработно лице. Регистрирани търсещи работа лица с хуманитарно образование: психология, социални науки, педагогика и др.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няма. Регистрирани търсещи работа лица с предишен опит в предоставянето на социални услуги са 51 безработни лица и по-конкретно с опит в професии от група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Домашни санитари”.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Гулянци не е изготвила прогноза в анализа за необходимия брой служители за извършване на дейностите по предоставяне на социални и интегрирани здравно-социални услуги</w:t>
      </w:r>
      <w:r>
        <w:rPr>
          <w:rFonts w:ascii="Times New Roman" w:hAnsi="Times New Roman" w:cs="Times New Roman" w:eastAsia="Times New Roman"/>
          <w:color w:val="000000"/>
          <w:spacing w:val="0"/>
          <w:position w:val="0"/>
          <w:sz w:val="24"/>
          <w:shd w:fill="auto" w:val="clear"/>
        </w:rPr>
        <w:t xml:space="preserve"> с оглед на оптимално им функциониране</w:t>
      </w:r>
      <w:r>
        <w:rPr>
          <w:rFonts w:ascii="Times New Roman" w:hAnsi="Times New Roman" w:cs="Times New Roman" w:eastAsia="Times New Roman"/>
          <w:color w:val="auto"/>
          <w:spacing w:val="0"/>
          <w:position w:val="0"/>
          <w:sz w:val="24"/>
          <w:shd w:fill="auto" w:val="clear"/>
        </w:rPr>
        <w:t xml:space="preserve">, в</w:t>
      </w:r>
      <w:r>
        <w:rPr>
          <w:rFonts w:ascii="Times New Roman" w:hAnsi="Times New Roman" w:cs="Times New Roman" w:eastAsia="Times New Roman"/>
          <w:color w:val="000000"/>
          <w:spacing w:val="0"/>
          <w:position w:val="0"/>
          <w:sz w:val="24"/>
          <w:shd w:fill="auto" w:val="clear"/>
        </w:rPr>
        <w:t xml:space="preserve">ъв връзка с декомпозирането на съществуващите към момента социални услуги на територията на общината.</w:t>
      </w:r>
    </w:p>
    <w:p>
      <w:pPr>
        <w:keepNext w:val="true"/>
        <w:numPr>
          <w:ilvl w:val="0"/>
          <w:numId w:val="2231"/>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ДОЛНА МИТРОПОЛИЯ</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Източниците на информация за структуриране на анализа в община Долна Митрополия са: Националният статистически институт, Общинска администрация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ГРАО,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Долна Митрополия;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 гр. Долна Митрополия.</w:t>
      </w:r>
    </w:p>
    <w:p>
      <w:pPr>
        <w:spacing w:before="0" w:after="189"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Анализът обхваща периода 2017-2021 година. По данни на община Долна Митрополия общият брой на населението, към 31.12.2021 г. е 19507 жители, от тях 3137 деца до 18-годишна възраст (16 %). Общия брой на лицата с трайни увреждания е 2658, от тях деца 76 (2,9 %).</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Долна Митрополия са разкрити 3 социални услуги. Общият капацитет на социалните услуги е за 129 потребители, в т.ч. 79 асистентска подкрепа и 20 ДСХ.</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tbl>
      <w:tblPr/>
      <w:tblGrid>
        <w:gridCol w:w="4317"/>
        <w:gridCol w:w="1436"/>
        <w:gridCol w:w="1582"/>
        <w:gridCol w:w="1725"/>
      </w:tblGrid>
      <w:tr>
        <w:trPr>
          <w:trHeight w:val="1" w:hRule="atLeast"/>
          <w:jc w:val="left"/>
        </w:trPr>
        <w:tc>
          <w:tcPr>
            <w:tcW w:w="431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rFonts w:ascii="Calibri" w:hAnsi="Calibri" w:cs="Calibri" w:eastAsia="Calibri"/>
                <w:color w:val="auto"/>
                <w:spacing w:val="0"/>
                <w:position w:val="0"/>
                <w:sz w:val="22"/>
                <w:shd w:fill="auto" w:val="clear"/>
              </w:rPr>
            </w:pPr>
          </w:p>
        </w:tc>
        <w:tc>
          <w:tcPr>
            <w:tcW w:w="143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158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172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r>
      <w:tr>
        <w:trPr>
          <w:trHeight w:val="1" w:hRule="atLeast"/>
          <w:jc w:val="left"/>
        </w:trPr>
        <w:tc>
          <w:tcPr>
            <w:tcW w:w="43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4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3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4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5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79</w:t>
            </w:r>
          </w:p>
        </w:tc>
        <w:tc>
          <w:tcPr>
            <w:tcW w:w="17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Долна Митрополия: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Долна Митрополия са 2 лица.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tbl>
      <w:tblPr/>
      <w:tblGrid>
        <w:gridCol w:w="3439"/>
        <w:gridCol w:w="5621"/>
      </w:tblGrid>
      <w:tr>
        <w:trPr>
          <w:trHeight w:val="1" w:hRule="atLeast"/>
          <w:jc w:val="left"/>
        </w:trPr>
        <w:tc>
          <w:tcPr>
            <w:tcW w:w="343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62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4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6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Долна Митрополия, различна от общината по настоящ адрес</w:t>
      </w: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Долна Митрополия, от други общини е</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100</w:t>
      </w:r>
      <w:r>
        <w:rPr>
          <w:rFonts w:ascii="Times New Roman" w:hAnsi="Times New Roman" w:cs="Times New Roman" w:eastAsia="Times New Roman"/>
          <w:i/>
          <w:color w:val="auto"/>
          <w:spacing w:val="0"/>
          <w:position w:val="0"/>
          <w:sz w:val="24"/>
          <w:shd w:fill="auto" w:val="clear"/>
        </w:rPr>
        <w:t xml:space="preserve">.</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816"/>
        <w:gridCol w:w="4244"/>
      </w:tblGrid>
      <w:tr>
        <w:trPr>
          <w:trHeight w:val="1" w:hRule="atLeast"/>
          <w:jc w:val="left"/>
        </w:trPr>
        <w:tc>
          <w:tcPr>
            <w:tcW w:w="481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Вид СУ</w:t>
            </w:r>
          </w:p>
        </w:tc>
        <w:tc>
          <w:tcPr>
            <w:tcW w:w="424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потребители от други общини</w:t>
            </w:r>
          </w:p>
        </w:tc>
      </w:tr>
      <w:tr>
        <w:trPr>
          <w:trHeight w:val="1" w:hRule="atLeast"/>
          <w:jc w:val="left"/>
        </w:trPr>
        <w:tc>
          <w:tcPr>
            <w:tcW w:w="4816"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ЦОП</w:t>
            </w:r>
          </w:p>
        </w:tc>
        <w:tc>
          <w:tcPr>
            <w:tcW w:w="4244"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93</w:t>
            </w:r>
          </w:p>
        </w:tc>
      </w:tr>
      <w:tr>
        <w:trPr>
          <w:trHeight w:val="1" w:hRule="atLeast"/>
          <w:jc w:val="left"/>
        </w:trPr>
        <w:tc>
          <w:tcPr>
            <w:tcW w:w="4816"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ДСХ</w:t>
            </w:r>
          </w:p>
        </w:tc>
        <w:tc>
          <w:tcPr>
            <w:tcW w:w="4244"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Долна Митрополия за последните 5 години</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Територията на община Долна Митрополия се характеризира с отрицателен естествен и механичен прираст. Възрастовата структура на населението на община Долна Митрополия се характеризира с нисък дял на населението в подтрудоспособна възраст и висок дял на населението в трудоспособна и надтрудоспособна възраст. Тази тенденция е непроменена в последните години. Отрицателният естествен прираст, ниското ниво на раждаемостта и миграцията на предимно млади хора е допринесло за влошаването на възрастовия състав на населението в общината, което се е отразило директно върху намаляване на работната сила. И в бъдеще процесът на демографско остаряване и наличието на трудов контингент ще зависи от миграцията на млади семейства както е било и досега.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Застаряването на населението увеличава и необходимостта от развиване на все повече социални услуги за възрастните хора и хората с увреждания.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Долна Митрополия е успяла да обезпечи социалните услуги с необходимите специалисти. Към момента на изготвянето на анализа в съществуващите социални услуги са назначени управители с нужното образование. Основните специалисти в социалните заведенията на общината притежават необходимата квалификация.</w:t>
      </w:r>
    </w:p>
    <w:p>
      <w:pPr>
        <w:tabs>
          <w:tab w:val="left" w:pos="0" w:leader="none"/>
          <w:tab w:val="left" w:pos="709" w:leader="none"/>
          <w:tab w:val="left" w:pos="5162" w:leader="none"/>
          <w:tab w:val="left" w:pos="6757" w:leader="none"/>
          <w:tab w:val="left" w:pos="7239" w:leader="none"/>
          <w:tab w:val="left" w:pos="9024"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 гр. Долна Митрополия, към момента на изготвяне на анализа, няма регистрирани лица с медицинско образование и безработни лица със специалности в областта на хуманитарните науки. Има регистрирани 43 лица с предишен опит като персонал, полагащ здравни грижи за хора, предимно лични и социални асистенти, без придобита квалификация.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Близостта до областния град Плевен, предполага възможности за осигуряване на необходимите специалисти за обезпечаване на дейности, при необходимост.</w:t>
      </w:r>
    </w:p>
    <w:p>
      <w:pPr>
        <w:tabs>
          <w:tab w:val="left" w:pos="709"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реформиране на услугата ще се наложи изменение на длъжностното щатно разписание в резултат на постигането на съответствие с изискванията за брой, квалификация и състав на служителите, заложени в стандартите за качество по НКСУ. </w:t>
      </w:r>
    </w:p>
    <w:p>
      <w:pPr>
        <w:tabs>
          <w:tab w:val="left" w:pos="709"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отношение на числеността на персонала, в социалните услуги, съгласно критериите за качество на отделните услуги и при условие, че бъде увеличен броя на потребителите в услугите, ще се наложи увеличаване на числеността на персонала, прогнозно 4,5 щатни бройки.</w:t>
      </w:r>
    </w:p>
    <w:p>
      <w:pPr>
        <w:keepNext w:val="true"/>
        <w:numPr>
          <w:ilvl w:val="0"/>
          <w:numId w:val="2272"/>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ДОЛНИ ДЪБНИК</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за общината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Долни Дъбник източниците, които са ползвани са от </w:t>
      </w:r>
      <w:r>
        <w:rPr>
          <w:rFonts w:ascii="Times New Roman" w:hAnsi="Times New Roman" w:cs="Times New Roman" w:eastAsia="Times New Roman"/>
          <w:color w:val="000000"/>
          <w:spacing w:val="0"/>
          <w:position w:val="0"/>
          <w:sz w:val="24"/>
          <w:shd w:fill="auto" w:val="clear"/>
        </w:rPr>
        <w:t xml:space="preserve">Общинска администрация Долни Дъбник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Дирекция “Финанси и бюджет“, Дирекция “Административно правно обслужване“, Дирекция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Стопански и хуманитарни дейности“, Дирекция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Устройство на територията“.</w:t>
      </w:r>
      <w:r>
        <w:rPr>
          <w:rFonts w:ascii="Times New Roman" w:hAnsi="Times New Roman" w:cs="Times New Roman" w:eastAsia="Times New Roman"/>
          <w:color w:val="auto"/>
          <w:spacing w:val="0"/>
          <w:position w:val="0"/>
          <w:sz w:val="24"/>
          <w:shd w:fill="auto" w:val="clear"/>
        </w:rPr>
        <w:t xml:space="preserve"> Националният статистически институт, Регионална здравна инспекция,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гр. Долна Митрополия,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 гр. Долна Митрополия</w:t>
      </w:r>
      <w:r>
        <w:rPr>
          <w:rFonts w:ascii="Times New Roman" w:hAnsi="Times New Roman" w:cs="Times New Roman" w:eastAsia="Times New Roman"/>
          <w:color w:val="000000"/>
          <w:spacing w:val="0"/>
          <w:position w:val="0"/>
          <w:sz w:val="24"/>
          <w:shd w:fill="auto" w:val="clear"/>
        </w:rPr>
        <w:t xml:space="preserve">, доставчици на социални услуги в общността.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Долни Дъбник, към 31.12.2021 г. е 10527 жители, от тях 2265 деца до 18-годишна възраст (21,5%). Общия брой на лицата с трайни увреждания е 1615, от тях деца 57 (3,53%).</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 Долни Дъбник</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Долни Дъбник са разкрити 2 социални услуги, от тях 1 се предоставя в с. Садовец. Общият капацитет на социалните услуги е за 51 потребители, в т.ч. 43 асистентска подкрепа.</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tbl>
      <w:tblPr/>
      <w:tblGrid>
        <w:gridCol w:w="5662"/>
        <w:gridCol w:w="1700"/>
        <w:gridCol w:w="1698"/>
      </w:tblGrid>
      <w:tr>
        <w:trPr>
          <w:trHeight w:val="1" w:hRule="atLeast"/>
          <w:jc w:val="left"/>
        </w:trPr>
        <w:tc>
          <w:tcPr>
            <w:tcW w:w="566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rFonts w:ascii="Calibri" w:hAnsi="Calibri" w:cs="Calibri" w:eastAsia="Calibri"/>
                <w:color w:val="auto"/>
                <w:spacing w:val="0"/>
                <w:position w:val="0"/>
                <w:sz w:val="22"/>
                <w:shd w:fill="auto" w:val="clear"/>
              </w:rPr>
            </w:pPr>
          </w:p>
        </w:tc>
        <w:tc>
          <w:tcPr>
            <w:tcW w:w="17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169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566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7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6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566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7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6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43</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 социални услуги на територията на община Долни Дъбник</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Долни Дъбник е 44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439"/>
        <w:gridCol w:w="5621"/>
      </w:tblGrid>
      <w:tr>
        <w:trPr>
          <w:trHeight w:val="1" w:hRule="atLeast"/>
          <w:jc w:val="left"/>
        </w:trPr>
        <w:tc>
          <w:tcPr>
            <w:tcW w:w="343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62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4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6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44</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Долни Дъбник,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Долни Дъбник, от други общини е 3.</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247"/>
        <w:gridCol w:w="4813"/>
      </w:tblGrid>
      <w:tr>
        <w:trPr>
          <w:trHeight w:val="1" w:hRule="atLeast"/>
          <w:jc w:val="left"/>
        </w:trPr>
        <w:tc>
          <w:tcPr>
            <w:tcW w:w="424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Вид СУ</w:t>
            </w:r>
          </w:p>
        </w:tc>
        <w:tc>
          <w:tcPr>
            <w:tcW w:w="481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потребители от други общини</w:t>
            </w:r>
          </w:p>
        </w:tc>
      </w:tr>
      <w:tr>
        <w:trPr>
          <w:trHeight w:val="1" w:hRule="atLeast"/>
          <w:jc w:val="left"/>
        </w:trPr>
        <w:tc>
          <w:tcPr>
            <w:tcW w:w="4247"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ЦНСТДБУ</w:t>
            </w:r>
          </w:p>
        </w:tc>
        <w:tc>
          <w:tcPr>
            <w:tcW w:w="481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Долни Дъбник за последните 5 години</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Наблюдава се негативна тенденция за намаляване населението на общината. Това до голяма степен се дължи на ниската раждаемост, емиграционните и имиграционните процеси протичащи в общината, поради различни фактори, като: липса на работа и търсене на възможност за препитание. Тенденцията е към миграция на активното население към други райони на страната, в по-големи градове, както и емиграцията в чужбина /Испания, Германия, Италия, Гърция и др./ и прогресивно намаление на относителния дял на лицата в трудоспособна възраст в селата на общината. Демографската карта на община Долни Дъбник е неблагоприятна. Това има своето пряко следствие за създаване на предпоставки за повишен риск от социална изключеност в определена възрастова група (най-възрастните и самотно живеещите), която с годините се разраства като относителен дял в общата численост на населението.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Назначеният персонал в социалните услуги разположени на територията на община Долни Дъбник запазва своята стабилност по отношение запазването на работните места, като не се наблюдава текучество.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всички служители работещи в социалните услуги функциониращи на територията на община Долни Дъбник са осигурени обучения и супервизии.</w:t>
      </w:r>
    </w:p>
    <w:p>
      <w:pPr>
        <w:spacing w:before="0" w:after="0" w:line="240"/>
        <w:ind w:right="33"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данните на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 за местния пазар на труда, регистрираните безработни лица притежаващи опит, като социален асистент са 8, като личен асистент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27 </w:t>
      </w:r>
      <w:r>
        <w:rPr>
          <w:rFonts w:ascii="Times New Roman" w:hAnsi="Times New Roman" w:cs="Times New Roman" w:eastAsia="Times New Roman"/>
          <w:color w:val="auto"/>
          <w:spacing w:val="0"/>
          <w:position w:val="0"/>
          <w:sz w:val="24"/>
          <w:shd w:fill="auto" w:val="clear"/>
        </w:rPr>
        <w:t xml:space="preserve">броя. Няма регистрирани безработни лица с медицинско образование и лица с опит в областта на хуманитарните науки.</w:t>
      </w:r>
    </w:p>
    <w:p>
      <w:pPr>
        <w:spacing w:before="0" w:after="0" w:line="240"/>
        <w:ind w:right="33"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Във връзка с декомпозирането на съществуващите към момента социални услуги на територията на община Долни Дъбник </w:t>
      </w:r>
      <w:r>
        <w:rPr>
          <w:rFonts w:ascii="Times New Roman" w:hAnsi="Times New Roman" w:cs="Times New Roman" w:eastAsia="Times New Roman"/>
          <w:color w:val="auto"/>
          <w:spacing w:val="0"/>
          <w:position w:val="0"/>
          <w:sz w:val="24"/>
          <w:shd w:fill="auto" w:val="clear"/>
        </w:rPr>
        <w:t xml:space="preserve">на този етап не се налага изменение на длъжностните щатни разписания за социалните услуги предоставяни на територията на общината.</w:t>
      </w:r>
    </w:p>
    <w:p>
      <w:pPr>
        <w:keepNext w:val="true"/>
        <w:numPr>
          <w:ilvl w:val="0"/>
          <w:numId w:val="2308"/>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ИСКЪР</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за общината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Искър източниците, които са ползвани са от статистическа база данни от НСИ, ГД ГРАО, Общинска администрация, Дирекция “Социално подпомагане“, РЗИ и ДБТ.</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Искър, към 31.12.2021 г. е 5712 жители, от тях 809 деца до 18-годишна възраст (14,2%). Общия брой на лицата с трайни увреждания е 873, от тях деца 12 (1,4%).</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 Искър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Искър е разкрита 1 социална услуга, с териториален обхват населените места в община Искър. Общият капацитет на социалната услуга е 23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5619"/>
        <w:gridCol w:w="3441"/>
      </w:tblGrid>
      <w:tr>
        <w:trPr>
          <w:trHeight w:val="1" w:hRule="atLeast"/>
          <w:jc w:val="left"/>
        </w:trPr>
        <w:tc>
          <w:tcPr>
            <w:tcW w:w="561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344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561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34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561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34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Искър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Искър е 3</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439"/>
        <w:gridCol w:w="5621"/>
      </w:tblGrid>
      <w:tr>
        <w:trPr>
          <w:trHeight w:val="1" w:hRule="atLeast"/>
          <w:jc w:val="left"/>
        </w:trPr>
        <w:tc>
          <w:tcPr>
            <w:tcW w:w="343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62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4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6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Искър, различна от  общината по настоящ адрес</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Искър няма потребители на социални услуги от други общини.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Искър за последните 5 години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Като резултат от наблюдаваното цялостно негативно демографско развитие, ситуацията на общинско ниво не е изключение от проявяващите се неблагоприятни тенденции, характеризиращи демографското развитие на националната територия. Стойностите на показателите за динамика на населението, раждаемост, смъртност, естествен и механичен прираст разкриват, че територията на община Искър не прави изключение от негативната тенденция на демографско развитие на национално ниво.</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на територията на община Искър разполагат с достатъчен и квалифициран персонал. Няма незаети щатни бройки в социалните услуги, предоставяни на територията на общината. Услугите функционират оптимално съобразно определените минимални изисквания за стандартите за качество на социалните услуги. На всички служители са осигурени супервизии.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информация на ДБТ регистрирани като безработни лица с медицинско образование - 1 лице, с образование в областта на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Хуманитарните науки“ - 4 лица и такива с предишен опит в социалните услуги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29 </w:t>
      </w:r>
      <w:r>
        <w:rPr>
          <w:rFonts w:ascii="Times New Roman" w:hAnsi="Times New Roman" w:cs="Times New Roman" w:eastAsia="Times New Roman"/>
          <w:color w:val="auto"/>
          <w:spacing w:val="0"/>
          <w:position w:val="0"/>
          <w:sz w:val="24"/>
          <w:shd w:fill="auto" w:val="clear"/>
        </w:rPr>
        <w:t xml:space="preserve">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този етап не се налага изменение на длъжностните щатни разписания на социалните услуги предоставяни на територията на община Искър. </w:t>
      </w:r>
    </w:p>
    <w:p>
      <w:pPr>
        <w:keepNext w:val="true"/>
        <w:numPr>
          <w:ilvl w:val="0"/>
          <w:numId w:val="2329"/>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КНЕЖА</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Кнежа за събирането на данни и информация за целите на настоящия анализ и планирането на социалните услуги са използвани официални източници като: НСИ, ДСП, ДБТ,ГД ГРАО и др.</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Кнежа, към 31.12.2021 г. е 13371 жители, от тях 2465 деца до 18-годишна възраст (18,4%). Общия брой на лицата с трайни увреждания е 1527, от тях деца 44 (2,9%).</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Кнежа е разкрита 1 социална услуга. Общият капацитет на социалните услуги е за 53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6337"/>
        <w:gridCol w:w="2723"/>
      </w:tblGrid>
      <w:tr>
        <w:trPr>
          <w:trHeight w:val="1" w:hRule="atLeast"/>
          <w:jc w:val="left"/>
        </w:trPr>
        <w:tc>
          <w:tcPr>
            <w:tcW w:w="633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72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63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7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63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7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53</w:t>
            </w:r>
          </w:p>
        </w:tc>
      </w:tr>
    </w:tbl>
    <w:p>
      <w:pPr>
        <w:spacing w:before="0" w:after="6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Кнежа </w:t>
      </w:r>
    </w:p>
    <w:p>
      <w:pPr>
        <w:spacing w:before="0" w:after="6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Видно от посочените данни, за социалната услуга АП, която се предоставя на общинско ниво са регистрирани 19 чакащи лица.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492"/>
        <w:gridCol w:w="4568"/>
      </w:tblGrid>
      <w:tr>
        <w:trPr>
          <w:trHeight w:val="1" w:hRule="atLeast"/>
          <w:jc w:val="left"/>
        </w:trPr>
        <w:tc>
          <w:tcPr>
            <w:tcW w:w="449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456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449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Асистентска подкрепа</w:t>
            </w:r>
          </w:p>
        </w:tc>
        <w:tc>
          <w:tcPr>
            <w:tcW w:w="456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Кнежа, различна от общината по настоящ адрес</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потребители с различен от общината адрес на социални и интегрирани здравно-социални услуги на територията на община Кнежа.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Кнежа за последните 5 години</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Данните показват, че процесът на намаляване броя на населението е устойчив. Във всички населени места в община Кнежа населението бележи спад. Процесът на обезлюдяване, характерен и за страната като цяло, засяга община Кнежа със същите темпове, които са характерни за преобладаващата част от селските общини в страната.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функциониращи на територията на община Кнежа са обезпечени кадрово. Няма незаети щатни бройки.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постъпилата информация от ДБТ, регистрирани безработни лица, жители на община Кнежа с образование в областта на хуманитарните науки и медицинско образование е 1 лице. Общ брой на регистрираните безработни лица с хуманитарно образование са 6 лица, а лицата с опит в сферата на социалните услуги са 46.</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Кнежа не е изготвила прогноза в анализа за необходимия брой служители за извършване на дейностите по предоставяне на социални и интегрирани здравно-социални услуги</w:t>
      </w:r>
      <w:r>
        <w:rPr>
          <w:rFonts w:ascii="Times New Roman" w:hAnsi="Times New Roman" w:cs="Times New Roman" w:eastAsia="Times New Roman"/>
          <w:color w:val="000000"/>
          <w:spacing w:val="0"/>
          <w:position w:val="0"/>
          <w:sz w:val="24"/>
          <w:shd w:fill="auto" w:val="clear"/>
        </w:rPr>
        <w:t xml:space="preserve"> с оглед на оптимално им функциониране</w:t>
      </w:r>
      <w:r>
        <w:rPr>
          <w:rFonts w:ascii="Times New Roman" w:hAnsi="Times New Roman" w:cs="Times New Roman" w:eastAsia="Times New Roman"/>
          <w:color w:val="auto"/>
          <w:spacing w:val="0"/>
          <w:position w:val="0"/>
          <w:sz w:val="24"/>
          <w:shd w:fill="auto" w:val="clear"/>
        </w:rPr>
        <w:t xml:space="preserve">, в</w:t>
      </w:r>
      <w:r>
        <w:rPr>
          <w:rFonts w:ascii="Times New Roman" w:hAnsi="Times New Roman" w:cs="Times New Roman" w:eastAsia="Times New Roman"/>
          <w:color w:val="000000"/>
          <w:spacing w:val="0"/>
          <w:position w:val="0"/>
          <w:sz w:val="24"/>
          <w:shd w:fill="auto" w:val="clear"/>
        </w:rPr>
        <w:t xml:space="preserve">ъв връзка с декомпозирането на съществуващите към момента социални услуги на територията на общината.</w:t>
      </w:r>
    </w:p>
    <w:p>
      <w:pPr>
        <w:keepNext w:val="true"/>
        <w:numPr>
          <w:ilvl w:val="0"/>
          <w:numId w:val="2356"/>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ЛЕВСКИ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Левски за събирането на данни и информация за целите на настоящия анализ и планирането на социалните услуги са използвани официални източници като: НСИ, ДСП, ДБТ, ГРАО и др.</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Левски, към 31.12.2021 г. е 16381 жители, от тях 2813 деца до 18-годишна възраст (17,2%). Общия брой на лицата с трайни увреждания е 2429, от тях деца 44 (1,8%).</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Левски са разкрити 7 социални услуги. Общият капацитет на социалните услуги е 199, в т.ч. 70 асистентска подкрепа.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821"/>
        <w:gridCol w:w="1276"/>
        <w:gridCol w:w="1698"/>
        <w:gridCol w:w="843"/>
        <w:gridCol w:w="1422"/>
      </w:tblGrid>
      <w:tr>
        <w:trPr>
          <w:trHeight w:val="1" w:hRule="atLeast"/>
          <w:jc w:val="left"/>
        </w:trPr>
        <w:tc>
          <w:tcPr>
            <w:tcW w:w="382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7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ДЦДПЛУ</w:t>
            </w:r>
          </w:p>
        </w:tc>
        <w:tc>
          <w:tcPr>
            <w:tcW w:w="169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ЦСРИДПЛУ</w:t>
            </w:r>
          </w:p>
        </w:tc>
        <w:tc>
          <w:tcPr>
            <w:tcW w:w="84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142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r>
      <w:tr>
        <w:trPr>
          <w:trHeight w:val="1" w:hRule="atLeast"/>
          <w:jc w:val="left"/>
        </w:trPr>
        <w:tc>
          <w:tcPr>
            <w:tcW w:w="38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6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8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6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w:t>
            </w:r>
          </w:p>
        </w:tc>
        <w:tc>
          <w:tcPr>
            <w:tcW w:w="8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c>
          <w:tcPr>
            <w:tcW w:w="14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801"/>
        <w:gridCol w:w="1622"/>
        <w:gridCol w:w="2247"/>
        <w:gridCol w:w="1390"/>
      </w:tblGrid>
      <w:tr>
        <w:trPr>
          <w:trHeight w:val="1" w:hRule="atLeast"/>
          <w:jc w:val="left"/>
        </w:trPr>
        <w:tc>
          <w:tcPr>
            <w:tcW w:w="380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62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224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139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38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6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2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3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8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6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22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13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70</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Левски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Левски е 84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439"/>
        <w:gridCol w:w="5621"/>
      </w:tblGrid>
      <w:tr>
        <w:trPr>
          <w:trHeight w:val="1" w:hRule="atLeast"/>
          <w:jc w:val="left"/>
        </w:trPr>
        <w:tc>
          <w:tcPr>
            <w:tcW w:w="343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62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4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56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r>
      <w:tr>
        <w:trPr>
          <w:trHeight w:val="1" w:hRule="atLeast"/>
          <w:jc w:val="left"/>
        </w:trPr>
        <w:tc>
          <w:tcPr>
            <w:tcW w:w="34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56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29</w:t>
            </w:r>
          </w:p>
        </w:tc>
      </w:tr>
      <w:tr>
        <w:trPr>
          <w:trHeight w:val="1" w:hRule="atLeast"/>
          <w:jc w:val="left"/>
        </w:trPr>
        <w:tc>
          <w:tcPr>
            <w:tcW w:w="34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6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Левски,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Левски, от други общини е 23.</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439"/>
        <w:gridCol w:w="5621"/>
      </w:tblGrid>
      <w:tr>
        <w:trPr>
          <w:trHeight w:val="1" w:hRule="atLeast"/>
          <w:jc w:val="left"/>
        </w:trPr>
        <w:tc>
          <w:tcPr>
            <w:tcW w:w="343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62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община</w:t>
            </w:r>
          </w:p>
        </w:tc>
      </w:tr>
      <w:tr>
        <w:trPr>
          <w:trHeight w:val="1" w:hRule="atLeast"/>
          <w:jc w:val="left"/>
        </w:trPr>
        <w:tc>
          <w:tcPr>
            <w:tcW w:w="34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56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r>
        <w:trPr>
          <w:trHeight w:val="1" w:hRule="atLeast"/>
          <w:jc w:val="left"/>
        </w:trPr>
        <w:tc>
          <w:tcPr>
            <w:tcW w:w="34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56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Левски за последните 5 години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Продължава тенденцията за намаляване населението на община Левски. Това до голяма степен се дължи на ниската раждаемост, емиграционните и имиграционните процеси протичащи в общината, поради различни фактори, като: липса на работа и търсене на възможност за препитание; ниски доходи; търсене на по-високо платена работа; продължаване на образованието в други градове или чужбина и др.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предоставените данни за наличните социални услуги на територията на община Левски е видно, че са налице 7 незаети щатни бройки. Община Левски в качеството си на доставчик на социални услуги, изпълнява задълженията си за осигуряване на професионално и кариерно развитие на служителите, работещи в социалните услуги, функциониращи на територията на общината. Работещите в социалните услуги преминават през въвеждащо обучение и надграждащо обучение, индивидуални и групови супервизии.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информация на ДБТ регистрираните безработни лица с образование в областта на хуманитарните науки е 1 лице, в областта на образованието - 3 лица, а тези с опит в сферата на социалните услуги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11 </w:t>
      </w:r>
      <w:r>
        <w:rPr>
          <w:rFonts w:ascii="Times New Roman" w:hAnsi="Times New Roman" w:cs="Times New Roman" w:eastAsia="Times New Roman"/>
          <w:color w:val="auto"/>
          <w:spacing w:val="0"/>
          <w:position w:val="0"/>
          <w:sz w:val="24"/>
          <w:shd w:fill="auto" w:val="clear"/>
        </w:rPr>
        <w:t xml:space="preserve">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съпоставка на данните за брой на назначени служители и брой незаети длъжности към момента на извършването на анализа по утвърдените щатни разписания във всяка услуга, както и въз основа на определените минимални изисквания в стандартите за качество на социалните услуги, касаещи броя и квалификацията на необходимите служители, е изведен прогнозен 45 брой на служителите с оглед на оптимално функциониране на социалните и интегрираните здравно-социални услуги.</w:t>
      </w:r>
    </w:p>
    <w:p>
      <w:pPr>
        <w:keepNext w:val="true"/>
        <w:numPr>
          <w:ilvl w:val="0"/>
          <w:numId w:val="2411"/>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НИКОПОЛ</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При изготвянето на анализа са използвани официални източници на информация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данни на Националния статистически институт, </w:t>
      </w:r>
      <w:r>
        <w:rPr>
          <w:rFonts w:ascii="Times New Roman" w:hAnsi="Times New Roman" w:cs="Times New Roman" w:eastAsia="Times New Roman"/>
          <w:color w:val="000000"/>
          <w:spacing w:val="0"/>
          <w:position w:val="0"/>
          <w:sz w:val="24"/>
          <w:shd w:fill="FFFFFF" w:val="clear"/>
        </w:rPr>
        <w:t xml:space="preserve">ДСП, ДБТ.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Никопол, към 31.12.2021 г. е 7447 жители, от тях 1134 деца до 18-годишна възраст (15,2%). Общия брой на лицата с трайни увреждания е 1326, от тях деца 12 (0,9%).</w:t>
      </w:r>
    </w:p>
    <w:p>
      <w:pPr>
        <w:spacing w:before="0" w:after="6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Никопол са разкрити 3 социални услуги, 1 от социалните услуги се предоставя в с. Драгаш войвода, общ. Никопол. Общият капацитет на социалните услуги е за 119 потребители, в т.ч. 75 асистентска подкрепа.</w:t>
      </w:r>
    </w:p>
    <w:tbl>
      <w:tblPr/>
      <w:tblGrid>
        <w:gridCol w:w="3434"/>
        <w:gridCol w:w="1944"/>
        <w:gridCol w:w="1982"/>
        <w:gridCol w:w="1700"/>
      </w:tblGrid>
      <w:tr>
        <w:trPr>
          <w:trHeight w:val="1" w:hRule="atLeast"/>
          <w:jc w:val="left"/>
        </w:trPr>
        <w:tc>
          <w:tcPr>
            <w:tcW w:w="343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rFonts w:ascii="Calibri" w:hAnsi="Calibri" w:cs="Calibri" w:eastAsia="Calibri"/>
                <w:color w:val="auto"/>
                <w:spacing w:val="0"/>
                <w:position w:val="0"/>
                <w:sz w:val="22"/>
                <w:shd w:fill="auto" w:val="clear"/>
              </w:rPr>
            </w:pPr>
          </w:p>
        </w:tc>
        <w:tc>
          <w:tcPr>
            <w:tcW w:w="194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198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17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34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9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9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7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4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9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9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c>
          <w:tcPr>
            <w:tcW w:w="17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75</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Никопол</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Никопол е 314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439"/>
        <w:gridCol w:w="5621"/>
      </w:tblGrid>
      <w:tr>
        <w:trPr>
          <w:trHeight w:val="1" w:hRule="atLeast"/>
          <w:jc w:val="left"/>
        </w:trPr>
        <w:tc>
          <w:tcPr>
            <w:tcW w:w="343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62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4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 </w:t>
            </w:r>
          </w:p>
        </w:tc>
        <w:tc>
          <w:tcPr>
            <w:tcW w:w="56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294</w:t>
            </w:r>
          </w:p>
        </w:tc>
      </w:tr>
      <w:tr>
        <w:trPr>
          <w:trHeight w:val="1" w:hRule="atLeast"/>
          <w:jc w:val="left"/>
        </w:trPr>
        <w:tc>
          <w:tcPr>
            <w:tcW w:w="34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6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Никопол,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Никопол, от други общини е 24</w:t>
      </w:r>
      <w:r>
        <w:rPr>
          <w:rFonts w:ascii="Times New Roman" w:hAnsi="Times New Roman" w:cs="Times New Roman" w:eastAsia="Times New Roman"/>
          <w:i/>
          <w:color w:val="auto"/>
          <w:spacing w:val="0"/>
          <w:position w:val="0"/>
          <w:sz w:val="24"/>
          <w:shd w:fill="auto" w:val="clear"/>
        </w:rPr>
        <w:t xml:space="preserve">.</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251"/>
        <w:gridCol w:w="4809"/>
      </w:tblGrid>
      <w:tr>
        <w:trPr>
          <w:trHeight w:val="1" w:hRule="atLeast"/>
          <w:jc w:val="left"/>
        </w:trPr>
        <w:tc>
          <w:tcPr>
            <w:tcW w:w="425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Вид СУ</w:t>
            </w:r>
          </w:p>
        </w:tc>
        <w:tc>
          <w:tcPr>
            <w:tcW w:w="480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потребители от други общини</w:t>
            </w:r>
          </w:p>
        </w:tc>
      </w:tr>
      <w:tr>
        <w:trPr>
          <w:trHeight w:val="1" w:hRule="atLeast"/>
          <w:jc w:val="left"/>
        </w:trPr>
        <w:tc>
          <w:tcPr>
            <w:tcW w:w="4251"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 </w:t>
            </w:r>
          </w:p>
        </w:tc>
        <w:tc>
          <w:tcPr>
            <w:tcW w:w="4809"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24</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Никопол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Общата тенденция е на застаряване на населението на община Никопол Възрастовата структура на населението е неблагоприятна и се характеризира с висок дял на населението в трудоспособна възраст, чийто относителен дял през последните години нараства, а делът на населението в подтрудоспособна възраст леко намалява. Ясно отчетливи са процесите на застаряване на населението и ниската степен на възпроизводство на населението.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Тенденциите в демографските показатели, следват общите тенденции в демографското развитие на цялата страна - намалена раждаемост, увеличена смъртност, засилена урбанизация и интензивна емиграция поради голямата безработица.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Община Никопол е обезпечила кадрово социалните услуги, функциониращи на територията на общината.</w:t>
      </w:r>
      <w:r>
        <w:rPr>
          <w:rFonts w:ascii="Times New Roman" w:hAnsi="Times New Roman" w:cs="Times New Roman" w:eastAsia="Times New Roman"/>
          <w:color w:val="auto"/>
          <w:spacing w:val="0"/>
          <w:position w:val="0"/>
          <w:sz w:val="24"/>
          <w:shd w:fill="auto" w:val="clear"/>
        </w:rPr>
        <w:t xml:space="preserve"> Няма незаети щатни бройки. Изпълнени са задълженията на общината, в качеството ѝ на доставчик на социални услуги, за осигуряване на професионално и кариерно развитие на служителите, работещи в услугите - осигурени са супервизии, обучения, наставничество.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предоставената информация от ДБТ става ясно, че общия брой </w:t>
      </w:r>
      <w:r>
        <w:rPr>
          <w:rFonts w:ascii="Times New Roman" w:hAnsi="Times New Roman" w:cs="Times New Roman" w:eastAsia="Times New Roman"/>
          <w:color w:val="000000"/>
          <w:spacing w:val="0"/>
          <w:position w:val="0"/>
          <w:sz w:val="24"/>
          <w:shd w:fill="auto" w:val="clear"/>
        </w:rPr>
        <w:t xml:space="preserve">на регистрираните лица с предишен опит в социалните услуги- 35 лица, </w:t>
      </w:r>
      <w:r>
        <w:rPr>
          <w:rFonts w:ascii="Times New Roman" w:hAnsi="Times New Roman" w:cs="Times New Roman" w:eastAsia="Times New Roman"/>
          <w:color w:val="auto"/>
          <w:spacing w:val="0"/>
          <w:position w:val="0"/>
          <w:sz w:val="24"/>
          <w:shd w:fill="auto" w:val="clear"/>
        </w:rPr>
        <w:t xml:space="preserve">от които: санитари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5; </w:t>
      </w:r>
      <w:r>
        <w:rPr>
          <w:rFonts w:ascii="Times New Roman" w:hAnsi="Times New Roman" w:cs="Times New Roman" w:eastAsia="Times New Roman"/>
          <w:color w:val="auto"/>
          <w:spacing w:val="0"/>
          <w:position w:val="0"/>
          <w:sz w:val="24"/>
          <w:shd w:fill="auto" w:val="clear"/>
        </w:rPr>
        <w:t xml:space="preserve">домашни санитари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4, </w:t>
      </w:r>
      <w:r>
        <w:rPr>
          <w:rFonts w:ascii="Times New Roman" w:hAnsi="Times New Roman" w:cs="Times New Roman" w:eastAsia="Times New Roman"/>
          <w:color w:val="auto"/>
          <w:spacing w:val="0"/>
          <w:position w:val="0"/>
          <w:sz w:val="24"/>
          <w:shd w:fill="auto" w:val="clear"/>
        </w:rPr>
        <w:t xml:space="preserve">личен асистент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23, </w:t>
      </w:r>
      <w:r>
        <w:rPr>
          <w:rFonts w:ascii="Times New Roman" w:hAnsi="Times New Roman" w:cs="Times New Roman" w:eastAsia="Times New Roman"/>
          <w:color w:val="auto"/>
          <w:spacing w:val="0"/>
          <w:position w:val="0"/>
          <w:sz w:val="24"/>
          <w:shd w:fill="auto" w:val="clear"/>
        </w:rPr>
        <w:t xml:space="preserve">социален асистент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3; </w:t>
      </w:r>
      <w:r>
        <w:rPr>
          <w:rFonts w:ascii="Times New Roman" w:hAnsi="Times New Roman" w:cs="Times New Roman" w:eastAsia="Times New Roman"/>
          <w:color w:val="auto"/>
          <w:spacing w:val="0"/>
          <w:position w:val="0"/>
          <w:sz w:val="24"/>
          <w:shd w:fill="auto" w:val="clear"/>
        </w:rPr>
        <w:t xml:space="preserve">Няма регистрирани, търсещи работа лица с медицинско и с хуманитарно образование. </w:t>
      </w:r>
    </w:p>
    <w:p>
      <w:pPr>
        <w:spacing w:before="0" w:after="0" w:line="240"/>
        <w:ind w:right="33"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Във връзка с декомпозирането на съществуващите към момента социални услуги на територията на община Никопол се извежда допълнителен прогнозен брой за наемане на двама нови служители с оглед на оптимално функциониране на социалните и интегрираните здравно-социални услуги.</w:t>
      </w:r>
    </w:p>
    <w:p>
      <w:pPr>
        <w:keepNext w:val="true"/>
        <w:numPr>
          <w:ilvl w:val="0"/>
          <w:numId w:val="2450"/>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ПЛЕВЕН</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При изготвянето на анализа са използвани официални източници на информация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данни на Националния статистически институт, </w:t>
      </w:r>
      <w:r>
        <w:rPr>
          <w:rFonts w:ascii="Times New Roman" w:hAnsi="Times New Roman" w:cs="Times New Roman" w:eastAsia="Times New Roman"/>
          <w:color w:val="000000"/>
          <w:spacing w:val="0"/>
          <w:position w:val="0"/>
          <w:sz w:val="24"/>
          <w:shd w:fill="FFFFFF" w:val="clear"/>
        </w:rPr>
        <w:t xml:space="preserve">ДСП, ДБТ, РЗИ, Общинска администрация - Плевен.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Плевен, към 31.12.2021 г. е 113131 жители, от тях 18472 деца до 18-годишна възраст (16,3%). Общия брой на лицата с трайни увреждания е 15189, от тях деца 430 (2, 8%).</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Плевен са разкрити 12 социални услуги, които се предоставят като държавно делегирана дейност. От тях, една социална услуга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ДСХ се намира в с. Бохот, общ. Плевен.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капацитет на социалните услуги е за 614</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потребители, в т.ч. 240 асистентска подкрепа и 55 в ДСХ.</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687"/>
        <w:gridCol w:w="1274"/>
        <w:gridCol w:w="1841"/>
        <w:gridCol w:w="1558"/>
        <w:gridCol w:w="1700"/>
      </w:tblGrid>
      <w:tr>
        <w:trPr>
          <w:trHeight w:val="1" w:hRule="atLeast"/>
          <w:jc w:val="left"/>
        </w:trPr>
        <w:tc>
          <w:tcPr>
            <w:tcW w:w="268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27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ДЦДУ</w:t>
            </w:r>
          </w:p>
        </w:tc>
        <w:tc>
          <w:tcPr>
            <w:tcW w:w="184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155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ЦСРИДУ</w:t>
            </w:r>
          </w:p>
        </w:tc>
        <w:tc>
          <w:tcPr>
            <w:tcW w:w="17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ЦСРИПЛ</w:t>
            </w:r>
          </w:p>
        </w:tc>
      </w:tr>
      <w:tr>
        <w:trPr>
          <w:trHeight w:val="1" w:hRule="atLeast"/>
          <w:jc w:val="left"/>
        </w:trPr>
        <w:tc>
          <w:tcPr>
            <w:tcW w:w="26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2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6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2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w:t>
            </w:r>
          </w:p>
        </w:tc>
        <w:tc>
          <w:tcPr>
            <w:tcW w:w="1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50</w:t>
            </w:r>
          </w:p>
        </w:tc>
        <w:tc>
          <w:tcPr>
            <w:tcW w:w="17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687"/>
        <w:gridCol w:w="1274"/>
        <w:gridCol w:w="1841"/>
        <w:gridCol w:w="1558"/>
        <w:gridCol w:w="1700"/>
      </w:tblGrid>
      <w:tr>
        <w:trPr>
          <w:trHeight w:val="1" w:hRule="atLeast"/>
          <w:jc w:val="left"/>
        </w:trPr>
        <w:tc>
          <w:tcPr>
            <w:tcW w:w="268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7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184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155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17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ЦСРИЖДПН</w:t>
            </w:r>
          </w:p>
        </w:tc>
      </w:tr>
      <w:tr>
        <w:trPr>
          <w:trHeight w:val="1" w:hRule="atLeast"/>
          <w:jc w:val="left"/>
        </w:trPr>
        <w:tc>
          <w:tcPr>
            <w:tcW w:w="26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2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7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6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2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75</w:t>
            </w:r>
          </w:p>
        </w:tc>
        <w:tc>
          <w:tcPr>
            <w:tcW w:w="1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68</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28</w:t>
            </w:r>
          </w:p>
        </w:tc>
        <w:tc>
          <w:tcPr>
            <w:tcW w:w="17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687"/>
        <w:gridCol w:w="1274"/>
        <w:gridCol w:w="1841"/>
        <w:gridCol w:w="1558"/>
        <w:gridCol w:w="1700"/>
      </w:tblGrid>
      <w:tr>
        <w:trPr>
          <w:trHeight w:val="1" w:hRule="atLeast"/>
          <w:jc w:val="left"/>
        </w:trPr>
        <w:tc>
          <w:tcPr>
            <w:tcW w:w="268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7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КЦДПЛ</w:t>
            </w:r>
          </w:p>
        </w:tc>
        <w:tc>
          <w:tcPr>
            <w:tcW w:w="184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155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17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r>
      <w:tr>
        <w:trPr>
          <w:trHeight w:val="1" w:hRule="atLeast"/>
          <w:jc w:val="left"/>
        </w:trPr>
        <w:tc>
          <w:tcPr>
            <w:tcW w:w="26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2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6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2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240</w:t>
            </w:r>
          </w:p>
        </w:tc>
        <w:tc>
          <w:tcPr>
            <w:tcW w:w="17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55</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Плевен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Плевен е 41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439"/>
        <w:gridCol w:w="5621"/>
      </w:tblGrid>
      <w:tr>
        <w:trPr>
          <w:trHeight w:val="1" w:hRule="atLeast"/>
          <w:jc w:val="left"/>
        </w:trPr>
        <w:tc>
          <w:tcPr>
            <w:tcW w:w="343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62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4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56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35</w:t>
            </w:r>
          </w:p>
        </w:tc>
      </w:tr>
      <w:tr>
        <w:trPr>
          <w:trHeight w:val="1" w:hRule="atLeast"/>
          <w:jc w:val="left"/>
        </w:trPr>
        <w:tc>
          <w:tcPr>
            <w:tcW w:w="34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56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34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56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Плевен,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Плевен, от други общини е 181.</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481"/>
        <w:gridCol w:w="5579"/>
      </w:tblGrid>
      <w:tr>
        <w:trPr>
          <w:trHeight w:val="1" w:hRule="atLeast"/>
          <w:jc w:val="left"/>
        </w:trPr>
        <w:tc>
          <w:tcPr>
            <w:tcW w:w="348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557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34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ДЦДУ</w:t>
            </w:r>
          </w:p>
        </w:tc>
        <w:tc>
          <w:tcPr>
            <w:tcW w:w="55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r>
      <w:tr>
        <w:trPr>
          <w:trHeight w:val="1" w:hRule="atLeast"/>
          <w:jc w:val="left"/>
        </w:trPr>
        <w:tc>
          <w:tcPr>
            <w:tcW w:w="34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ЦСРИДУ</w:t>
            </w:r>
          </w:p>
        </w:tc>
        <w:tc>
          <w:tcPr>
            <w:tcW w:w="55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65</w:t>
            </w:r>
          </w:p>
        </w:tc>
      </w:tr>
      <w:tr>
        <w:trPr>
          <w:trHeight w:val="1" w:hRule="atLeast"/>
          <w:jc w:val="left"/>
        </w:trPr>
        <w:tc>
          <w:tcPr>
            <w:tcW w:w="34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55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r>
      <w:tr>
        <w:trPr>
          <w:trHeight w:val="1" w:hRule="atLeast"/>
          <w:jc w:val="left"/>
        </w:trPr>
        <w:tc>
          <w:tcPr>
            <w:tcW w:w="34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55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34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ЦСРИЖДПН</w:t>
            </w:r>
          </w:p>
        </w:tc>
        <w:tc>
          <w:tcPr>
            <w:tcW w:w="55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49</w:t>
            </w:r>
          </w:p>
        </w:tc>
      </w:tr>
      <w:tr>
        <w:trPr>
          <w:trHeight w:val="1" w:hRule="atLeast"/>
          <w:jc w:val="left"/>
        </w:trPr>
        <w:tc>
          <w:tcPr>
            <w:tcW w:w="34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КЦДПЛ</w:t>
            </w:r>
          </w:p>
        </w:tc>
        <w:tc>
          <w:tcPr>
            <w:tcW w:w="55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r>
        <w:trPr>
          <w:trHeight w:val="1" w:hRule="atLeast"/>
          <w:jc w:val="left"/>
        </w:trPr>
        <w:tc>
          <w:tcPr>
            <w:tcW w:w="34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55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Плевен за последните 5 години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Наблюдава се намаляване на населението в трудоспособна възраст през периода. Възрастовата структура на населението в Община Плевен показва постоянна тенденция към застаряване. Демографската картина за общината, както и за цялата страна е неблагоприятна, населението застарява, както в резултат на естествените процеси на раждаемост и смъртност, така и в резултат а засилените емиграционни процеси. </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Общият</w:t>
      </w:r>
      <w:r>
        <w:rPr>
          <w:rFonts w:ascii="Times New Roman" w:hAnsi="Times New Roman" w:cs="Times New Roman" w:eastAsia="Times New Roman"/>
          <w:color w:val="auto"/>
          <w:spacing w:val="1"/>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брой по</w:t>
      </w:r>
      <w:r>
        <w:rPr>
          <w:rFonts w:ascii="Times New Roman" w:hAnsi="Times New Roman" w:cs="Times New Roman" w:eastAsia="Times New Roman"/>
          <w:color w:val="auto"/>
          <w:spacing w:val="1"/>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щатно</w:t>
      </w:r>
      <w:r>
        <w:rPr>
          <w:rFonts w:ascii="Times New Roman" w:hAnsi="Times New Roman" w:cs="Times New Roman" w:eastAsia="Times New Roman"/>
          <w:color w:val="auto"/>
          <w:spacing w:val="1"/>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разписание на служителите</w:t>
      </w:r>
      <w:r>
        <w:rPr>
          <w:rFonts w:ascii="Times New Roman" w:hAnsi="Times New Roman" w:cs="Times New Roman" w:eastAsia="Times New Roman"/>
          <w:color w:val="auto"/>
          <w:spacing w:val="6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предоставящи тези услуги</w:t>
      </w:r>
      <w:r>
        <w:rPr>
          <w:rFonts w:ascii="Times New Roman" w:hAnsi="Times New Roman" w:cs="Times New Roman" w:eastAsia="Times New Roman"/>
          <w:color w:val="auto"/>
          <w:spacing w:val="6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е</w:t>
      </w:r>
      <w:r>
        <w:rPr>
          <w:rFonts w:ascii="Times New Roman" w:hAnsi="Times New Roman" w:cs="Times New Roman" w:eastAsia="Times New Roman"/>
          <w:color w:val="auto"/>
          <w:spacing w:val="1"/>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265 бр., а реално заетите места са 212,5 бр., което е 80%. Незаетите места за всички</w:t>
      </w:r>
      <w:r>
        <w:rPr>
          <w:rFonts w:ascii="Times New Roman" w:hAnsi="Times New Roman" w:cs="Times New Roman" w:eastAsia="Times New Roman"/>
          <w:color w:val="auto"/>
          <w:spacing w:val="1"/>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социални</w:t>
      </w:r>
      <w:r>
        <w:rPr>
          <w:rFonts w:ascii="Times New Roman" w:hAnsi="Times New Roman" w:cs="Times New Roman" w:eastAsia="Times New Roman"/>
          <w:color w:val="auto"/>
          <w:spacing w:val="2"/>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услуги</w:t>
      </w:r>
      <w:r>
        <w:rPr>
          <w:rFonts w:ascii="Times New Roman" w:hAnsi="Times New Roman" w:cs="Times New Roman" w:eastAsia="Times New Roman"/>
          <w:color w:val="auto"/>
          <w:spacing w:val="3"/>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не</w:t>
      </w:r>
      <w:r>
        <w:rPr>
          <w:rFonts w:ascii="Times New Roman" w:hAnsi="Times New Roman" w:cs="Times New Roman" w:eastAsia="Times New Roman"/>
          <w:color w:val="auto"/>
          <w:spacing w:val="1"/>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надхвърлят</w:t>
      </w:r>
      <w:r>
        <w:rPr>
          <w:rFonts w:ascii="Times New Roman" w:hAnsi="Times New Roman" w:cs="Times New Roman" w:eastAsia="Times New Roman"/>
          <w:color w:val="auto"/>
          <w:spacing w:val="1"/>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75%.</w:t>
      </w:r>
    </w:p>
    <w:p>
      <w:pPr>
        <w:spacing w:before="0" w:after="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Като основни проблеми, свързани със служителите, се отчитат тези в услугата</w:t>
      </w:r>
      <w:r>
        <w:rPr>
          <w:rFonts w:ascii="Times New Roman" w:hAnsi="Times New Roman" w:cs="Times New Roman" w:eastAsia="Times New Roman"/>
          <w:color w:val="auto"/>
          <w:spacing w:val="1"/>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Асистентска подкрепа, породени от текучество и ниското заплащане. В останалите услуги</w:t>
      </w:r>
      <w:r>
        <w:rPr>
          <w:rFonts w:ascii="Times New Roman" w:hAnsi="Times New Roman" w:cs="Times New Roman" w:eastAsia="Times New Roman"/>
          <w:color w:val="auto"/>
          <w:spacing w:val="-57"/>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 е изграден</w:t>
      </w:r>
      <w:r>
        <w:rPr>
          <w:rFonts w:ascii="Times New Roman" w:hAnsi="Times New Roman" w:cs="Times New Roman" w:eastAsia="Times New Roman"/>
          <w:color w:val="auto"/>
          <w:spacing w:val="3"/>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добър</w:t>
      </w:r>
      <w:r>
        <w:rPr>
          <w:rFonts w:ascii="Times New Roman" w:hAnsi="Times New Roman" w:cs="Times New Roman" w:eastAsia="Times New Roman"/>
          <w:color w:val="auto"/>
          <w:spacing w:val="1"/>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екип</w:t>
      </w:r>
      <w:r>
        <w:rPr>
          <w:rFonts w:ascii="Times New Roman" w:hAnsi="Times New Roman" w:cs="Times New Roman" w:eastAsia="Times New Roman"/>
          <w:color w:val="auto"/>
          <w:spacing w:val="-7"/>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от</w:t>
      </w:r>
      <w:r>
        <w:rPr>
          <w:rFonts w:ascii="Times New Roman" w:hAnsi="Times New Roman" w:cs="Times New Roman" w:eastAsia="Times New Roman"/>
          <w:color w:val="auto"/>
          <w:spacing w:val="2"/>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квалифицирани</w:t>
      </w:r>
      <w:r>
        <w:rPr>
          <w:rFonts w:ascii="Times New Roman" w:hAnsi="Times New Roman" w:cs="Times New Roman" w:eastAsia="Times New Roman"/>
          <w:color w:val="auto"/>
          <w:spacing w:val="-3"/>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специалисти.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ДБТ е предоставена информация за 4 лица с медицинско образование регистрирани като безработни, 22 лица с педагогическо образование и 169 лица с предишен опит в социалните услуги.</w:t>
      </w:r>
    </w:p>
    <w:p>
      <w:pPr>
        <w:spacing w:before="0" w:after="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При планиране на нови социални услуги Община Плевен ще изготви длъжностно</w:t>
      </w:r>
      <w:r>
        <w:rPr>
          <w:rFonts w:ascii="Times New Roman" w:hAnsi="Times New Roman" w:cs="Times New Roman" w:eastAsia="Times New Roman"/>
          <w:color w:val="auto"/>
          <w:spacing w:val="1"/>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разпределение според определения капацитет и изискванията на Наредбата за качество на</w:t>
      </w:r>
      <w:r>
        <w:rPr>
          <w:rFonts w:ascii="Times New Roman" w:hAnsi="Times New Roman" w:cs="Times New Roman" w:eastAsia="Times New Roman"/>
          <w:color w:val="auto"/>
          <w:spacing w:val="-57"/>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социалните услуги.</w:t>
      </w:r>
    </w:p>
    <w:p>
      <w:pPr>
        <w:spacing w:before="0" w:after="0" w:line="240"/>
        <w:ind w:right="33"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Плевен не е изготвила прогноза в анализа за необходимия брой служители за извършване на дейностите по предоставяне на социални и интегрирани здравно-социални услуги</w:t>
      </w:r>
      <w:r>
        <w:rPr>
          <w:rFonts w:ascii="Times New Roman" w:hAnsi="Times New Roman" w:cs="Times New Roman" w:eastAsia="Times New Roman"/>
          <w:color w:val="000000"/>
          <w:spacing w:val="0"/>
          <w:position w:val="0"/>
          <w:sz w:val="24"/>
          <w:shd w:fill="auto" w:val="clear"/>
        </w:rPr>
        <w:t xml:space="preserve"> с оглед на оптимално им функциониране</w:t>
      </w:r>
      <w:r>
        <w:rPr>
          <w:rFonts w:ascii="Times New Roman" w:hAnsi="Times New Roman" w:cs="Times New Roman" w:eastAsia="Times New Roman"/>
          <w:color w:val="auto"/>
          <w:spacing w:val="0"/>
          <w:position w:val="0"/>
          <w:sz w:val="24"/>
          <w:shd w:fill="auto" w:val="clear"/>
        </w:rPr>
        <w:t xml:space="preserve">, в</w:t>
      </w:r>
      <w:r>
        <w:rPr>
          <w:rFonts w:ascii="Times New Roman" w:hAnsi="Times New Roman" w:cs="Times New Roman" w:eastAsia="Times New Roman"/>
          <w:color w:val="000000"/>
          <w:spacing w:val="0"/>
          <w:position w:val="0"/>
          <w:sz w:val="24"/>
          <w:shd w:fill="auto" w:val="clear"/>
        </w:rPr>
        <w:t xml:space="preserve">ъв връзка с декомпозирането на съществуващите към момента социални услуги на територията на общината.</w:t>
      </w:r>
    </w:p>
    <w:p>
      <w:pPr>
        <w:spacing w:before="0" w:after="0" w:line="240"/>
        <w:ind w:right="33"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33"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2523"/>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 </w:t>
      </w:r>
      <w:r>
        <w:rPr>
          <w:rFonts w:ascii="Times New Roman" w:hAnsi="Times New Roman" w:cs="Times New Roman" w:eastAsia="Times New Roman"/>
          <w:b/>
          <w:color w:val="003366"/>
          <w:spacing w:val="0"/>
          <w:position w:val="0"/>
          <w:sz w:val="24"/>
          <w:shd w:fill="auto" w:val="clear"/>
        </w:rPr>
        <w:t xml:space="preserve">ОБЩИНА ПОРДИМ</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са използвани официални източници на информация</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ГРАО, НОИ, ДБТ, НСИДСП и общинска администрация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ГРАО.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Пордим, към 31.12.2021 г. е 5421 жители, от тях 1073 деца до 18-годишна възраст (19,8%). Общия брой на лицата с трайни увреждания е 787 от тях деца 10 (1,3%).</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Пордим са разкрити 4 социални услуги, една социална услуга се предоставя в с. Згалево, общ. Пордим, а всички останали се предоставят в гр. Пордим. Общият капацитет на социалните услуги е за 96 потребители, в т.ч. 30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630"/>
        <w:gridCol w:w="1422"/>
        <w:gridCol w:w="1120"/>
        <w:gridCol w:w="1897"/>
        <w:gridCol w:w="991"/>
      </w:tblGrid>
      <w:tr>
        <w:trPr>
          <w:trHeight w:val="1" w:hRule="atLeast"/>
          <w:jc w:val="left"/>
        </w:trPr>
        <w:tc>
          <w:tcPr>
            <w:tcW w:w="363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42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112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189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ЦСРИД</w:t>
            </w:r>
          </w:p>
        </w:tc>
        <w:tc>
          <w:tcPr>
            <w:tcW w:w="99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36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4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1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89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6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4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28</w:t>
            </w:r>
          </w:p>
        </w:tc>
        <w:tc>
          <w:tcPr>
            <w:tcW w:w="11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89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9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Пордим</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Пордим е 47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439"/>
        <w:gridCol w:w="5621"/>
      </w:tblGrid>
      <w:tr>
        <w:trPr>
          <w:trHeight w:val="1" w:hRule="atLeast"/>
          <w:jc w:val="left"/>
        </w:trPr>
        <w:tc>
          <w:tcPr>
            <w:tcW w:w="343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62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4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56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r>
      <w:tr>
        <w:trPr>
          <w:trHeight w:val="1" w:hRule="atLeast"/>
          <w:jc w:val="left"/>
        </w:trPr>
        <w:tc>
          <w:tcPr>
            <w:tcW w:w="34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6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Пордим,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Пордим, от други общини е 36.</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247"/>
        <w:gridCol w:w="4813"/>
      </w:tblGrid>
      <w:tr>
        <w:trPr>
          <w:trHeight w:val="1" w:hRule="atLeast"/>
          <w:jc w:val="left"/>
        </w:trPr>
        <w:tc>
          <w:tcPr>
            <w:tcW w:w="424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Вид СУ</w:t>
            </w:r>
          </w:p>
        </w:tc>
        <w:tc>
          <w:tcPr>
            <w:tcW w:w="481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потребители от други общини</w:t>
            </w:r>
          </w:p>
        </w:tc>
      </w:tr>
      <w:tr>
        <w:trPr>
          <w:trHeight w:val="1" w:hRule="atLeast"/>
          <w:jc w:val="left"/>
        </w:trPr>
        <w:tc>
          <w:tcPr>
            <w:tcW w:w="4247"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ЦНДТДБУ</w:t>
            </w:r>
          </w:p>
        </w:tc>
        <w:tc>
          <w:tcPr>
            <w:tcW w:w="481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28</w:t>
            </w:r>
          </w:p>
        </w:tc>
      </w:tr>
      <w:tr>
        <w:trPr>
          <w:trHeight w:val="1" w:hRule="atLeast"/>
          <w:jc w:val="left"/>
        </w:trPr>
        <w:tc>
          <w:tcPr>
            <w:tcW w:w="4247"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ЗЖЛУИ</w:t>
            </w:r>
          </w:p>
        </w:tc>
        <w:tc>
          <w:tcPr>
            <w:tcW w:w="481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Пордим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Видно от приложената таблица, през последните 5 години се отчита намаляване на населението в община Пордим, което е следствие от отрицателните естествен и механичен прираст. Налице е спад на нивото на раждаемостта в периода 2017 - 2021 година, на фона на увеличената смъртност. Отрицателният естествен прираст показва, че при запазване на тази тенденция ще се ограничи възможността за естественото възпроизводство на населението през следващите години. Този проблем ще рефлектира и върху бъдещата възрастова структура на населението в общината, както и върху трудовия пазар.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предоставените данни за наличните социални услуги на територията на община Пордим е видно, че те са обезпечени с необходимите категории служители, за предоставяне на съответните услуги. По утвърдени щатни разписания назначените служители са 62 бр., от които 1 щатна бройка е незаета. Община Пордим в качеството си на доставчик на социални услуги, изпълнява задълженията си за осигуряване на професионално и кариерно развитие на служителите, работещи в социалните услуги, функциониращи на територията на общината. Осигурява периодично и при необходимост обучения и супервизия на служителите администриращи социалните услуги в общината, както и на всички работещи в социалните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информация на ДБТ няма регистрираните безработни лица с образование в областта на хуманитарните науки, педагогически и/или с опит в сферата на социалните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трансформирането на съществуващите социални услуги и декомпозирането им по дейности, съгласно чл.15 от Закона за социалните услуги и въз основа на определените минимални изисквания в стандартите за качество на социалните услуги, касаещи броя и квалификацията на необходимите служители се извежда потребност от допълнително 14 броя служители.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2553"/>
        </w:numPr>
        <w:tabs>
          <w:tab w:val="left" w:pos="718" w:leader="none"/>
        </w:tabs>
        <w:spacing w:before="0" w:after="0" w:line="240"/>
        <w:ind w:right="0" w:left="0" w:firstLine="0"/>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 </w:t>
      </w:r>
      <w:r>
        <w:rPr>
          <w:rFonts w:ascii="Times New Roman" w:hAnsi="Times New Roman" w:cs="Times New Roman" w:eastAsia="Times New Roman"/>
          <w:b/>
          <w:color w:val="003366"/>
          <w:spacing w:val="0"/>
          <w:position w:val="0"/>
          <w:sz w:val="24"/>
          <w:shd w:fill="auto" w:val="clear"/>
        </w:rPr>
        <w:t xml:space="preserve">ОБЩИНА ЧЕРВЕН БРЯГ</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са използвани официални източници на информация- Националният статистически институт; органи, които по силата на закон имат право да събират и администрират съответните данни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ДСП, ДБТ; Общинска администрация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ГРАО , териториално поделение на НСИ.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Червен бряг, към 31.12.2021 г. е 30031 жители, от тях 5404 деца до 18-годишна възраст (18%). Общия брой на лицата с трайни увреждания е 3508, от тях деца 79 (2,3%).</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Червен бряг са разкрити 5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капацитет на социалните услуги е за 164 потребители, в т.ч. 88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12"/>
        <w:gridCol w:w="990"/>
        <w:gridCol w:w="1134"/>
        <w:gridCol w:w="1558"/>
        <w:gridCol w:w="1133"/>
        <w:gridCol w:w="1133"/>
      </w:tblGrid>
      <w:tr>
        <w:trPr>
          <w:trHeight w:val="1" w:hRule="atLeast"/>
          <w:jc w:val="left"/>
        </w:trPr>
        <w:tc>
          <w:tcPr>
            <w:tcW w:w="311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113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155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113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113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31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9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1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9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11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1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88</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Червен бряг</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Червен бряг е 124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439"/>
        <w:gridCol w:w="5621"/>
      </w:tblGrid>
      <w:tr>
        <w:trPr>
          <w:trHeight w:val="1" w:hRule="atLeast"/>
          <w:jc w:val="left"/>
        </w:trPr>
        <w:tc>
          <w:tcPr>
            <w:tcW w:w="343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62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4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56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26</w:t>
            </w:r>
          </w:p>
        </w:tc>
      </w:tr>
      <w:tr>
        <w:trPr>
          <w:trHeight w:val="1" w:hRule="atLeast"/>
          <w:jc w:val="left"/>
        </w:trPr>
        <w:tc>
          <w:tcPr>
            <w:tcW w:w="34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6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98</w:t>
            </w:r>
          </w:p>
        </w:tc>
      </w:tr>
    </w:tbl>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от други общини, които ползват социални и интегрирани здравно-социални услуги на територията на община Червен бряг</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потребители от други общини, които ползват социални и интегрирани здравно-социални услуги на територията на община Червен бряг.</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Червен бряг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Възрастовата структура на населението в общината показва постоянна тенденция към застаряване. Демографската картина за община Червен бряг, както и за цялата страна, е неблагоприятна, населението застарява в резултат на естествените процеси на раждаемост и смъртност, така и в резултат на засилените емиграционни процеси.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Във всички функциониращи услуги на територията на община Червен бряг, служителите извършващи дейности са назначени, съгласно утвърдено щатно разписание за съответната услуга и стандартите за качество, по Наредбата за качество на социалните услуги. Община Червен бряг, като доставчик на социалните услуги, осигурява условия за професионално развитие на служителите, работещи в сферата на социалните дейности. </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 оглед утвърдените щатни разписания, се налагат изводи, че на територията на община Червен бряг за качествено и ефективно предоставяне на социалните услуги, липсват определени специалисти, такива като: психолог, лица с медицинско образование и логопед.</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След декомпозиране на съществуващите социални услуги и преизчисление на необходимия персонал съгласно изискванията на НКСУ ,прогнозният брой служители за извършване на дейности по предоставяне на нови социални услуги, са както следва общо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72 </w:t>
      </w:r>
      <w:r>
        <w:rPr>
          <w:rFonts w:ascii="Times New Roman" w:hAnsi="Times New Roman" w:cs="Times New Roman" w:eastAsia="Times New Roman"/>
          <w:color w:val="auto"/>
          <w:spacing w:val="0"/>
          <w:position w:val="0"/>
          <w:sz w:val="24"/>
          <w:shd w:fill="auto" w:val="clear"/>
        </w:rPr>
        <w:t xml:space="preserve">лица, от тях 60 лица, пряко ангажирани в обгрижване и подкрепа на потребителите и 12 специалисти (с медицинско образование и с образование в областта на хуманитарните науки).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предоставената информация от ДБТ, с регистрация като безработни и активно търсещи работа лица са 3 в областта на хуманитарните науки, 6 лица в областта на здравеопазването и 155 лица с предишен опит в предоставянето на социални услуги. Видно от подадената информация от ДБТ, на територията на общината има достатъчен брой регистрирани лица с подходящо образование, опит и квалификация, които могат да бъдат назначени при разкриване на нови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2575"/>
        </w:numPr>
        <w:tabs>
          <w:tab w:val="left" w:pos="718" w:leader="none"/>
        </w:tabs>
        <w:spacing w:before="0" w:after="0" w:line="240"/>
        <w:ind w:right="0" w:left="718"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АНАЛИЗ НА ПОТРЕБНОСТИТЕ В ОБЛАСТ ПЛЕВЕН (обобщено)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общините от област Плевен информацията за населението по критериите съгласно Наредбата за планиране на социалните услуги е получена от информационна система ГРАО на общините, Агенция за хората с увреждания, РЗИ, от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от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 кметове и кметски наместници, училища, лечебни заведения, социални услуги и др.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обобщени за област Плевен по общини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област Плевен, към 31.12.2021 г. е 240 353 жители, от тях 39 827 деца до 18-годишна възраст (16,6 %). Общия брой на лицата с трайни увреждания е 32 586, от тях деца 801 (2,5%).</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областта: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брои на социалните услуги на територията на област Плевен е 50 с 1619 потребители. Броят на социалните услуги за пълнолетни лица е 24, с 1055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за деца са 26 със 564 потребители.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4"/>
          <w:position w:val="0"/>
          <w:sz w:val="24"/>
          <w:shd w:fill="auto" w:val="clear"/>
        </w:rPr>
      </w:pPr>
      <w:r>
        <w:rPr>
          <w:rFonts w:ascii="Times New Roman" w:hAnsi="Times New Roman" w:cs="Times New Roman" w:eastAsia="Times New Roman"/>
          <w:color w:val="auto"/>
          <w:spacing w:val="-4"/>
          <w:position w:val="0"/>
          <w:sz w:val="24"/>
          <w:shd w:fill="auto" w:val="clear"/>
        </w:rPr>
        <w:t xml:space="preserve">От графиките е видно, че на територията на област Плевен преобладават услугите за:</w:t>
      </w:r>
    </w:p>
    <w:p>
      <w:pPr>
        <w:spacing w:before="0" w:after="0" w:line="240"/>
        <w:ind w:right="0" w:left="0" w:firstLine="0"/>
        <w:jc w:val="left"/>
        <w:rPr>
          <w:rFonts w:ascii="Times New Roman" w:hAnsi="Times New Roman" w:cs="Times New Roman" w:eastAsia="Times New Roman"/>
          <w:color w:val="auto"/>
          <w:spacing w:val="-4"/>
          <w:position w:val="0"/>
          <w:sz w:val="24"/>
          <w:shd w:fill="auto" w:val="clear"/>
        </w:rPr>
      </w:pPr>
      <w:r>
        <w:rPr>
          <w:rFonts w:ascii="Times New Roman" w:hAnsi="Times New Roman" w:cs="Times New Roman" w:eastAsia="Times New Roman"/>
          <w:color w:val="auto"/>
          <w:spacing w:val="-4"/>
          <w:position w:val="0"/>
          <w:sz w:val="24"/>
          <w:shd w:fill="auto" w:val="clear"/>
        </w:rPr>
        <w:t xml:space="preserve">консултативни услуги (ДЦ, ЦСРИ, ЦОП) </w:t>
      </w:r>
      <w:r>
        <w:rPr>
          <w:rFonts w:ascii="Times New Roman" w:hAnsi="Times New Roman" w:cs="Times New Roman" w:eastAsia="Times New Roman"/>
          <w:color w:val="auto"/>
          <w:spacing w:val="-4"/>
          <w:position w:val="0"/>
          <w:sz w:val="24"/>
          <w:shd w:fill="auto" w:val="clear"/>
        </w:rPr>
        <w:t xml:space="preserve">–</w:t>
      </w:r>
      <w:r>
        <w:rPr>
          <w:rFonts w:ascii="Times New Roman" w:hAnsi="Times New Roman" w:cs="Times New Roman" w:eastAsia="Times New Roman"/>
          <w:color w:val="auto"/>
          <w:spacing w:val="-4"/>
          <w:position w:val="0"/>
          <w:sz w:val="24"/>
          <w:shd w:fill="auto" w:val="clear"/>
        </w:rPr>
        <w:t xml:space="preserve"> 3 </w:t>
      </w:r>
      <w:r>
        <w:rPr>
          <w:rFonts w:ascii="Times New Roman" w:hAnsi="Times New Roman" w:cs="Times New Roman" w:eastAsia="Times New Roman"/>
          <w:color w:val="auto"/>
          <w:spacing w:val="-4"/>
          <w:position w:val="0"/>
          <w:sz w:val="24"/>
          <w:shd w:fill="auto" w:val="clear"/>
        </w:rPr>
        <w:t xml:space="preserve">услуги за 486 потребители;</w:t>
      </w:r>
    </w:p>
    <w:p>
      <w:pPr>
        <w:spacing w:before="0" w:after="0" w:line="240"/>
        <w:ind w:right="0" w:left="0" w:firstLine="0"/>
        <w:jc w:val="left"/>
        <w:rPr>
          <w:rFonts w:ascii="Times New Roman" w:hAnsi="Times New Roman" w:cs="Times New Roman" w:eastAsia="Times New Roman"/>
          <w:color w:val="auto"/>
          <w:spacing w:val="-4"/>
          <w:position w:val="0"/>
          <w:sz w:val="24"/>
          <w:shd w:fill="auto" w:val="clear"/>
        </w:rPr>
      </w:pPr>
      <w:r>
        <w:rPr>
          <w:rFonts w:ascii="Times New Roman" w:hAnsi="Times New Roman" w:cs="Times New Roman" w:eastAsia="Times New Roman"/>
          <w:color w:val="auto"/>
          <w:spacing w:val="-4"/>
          <w:position w:val="0"/>
          <w:sz w:val="24"/>
          <w:shd w:fill="auto" w:val="clear"/>
        </w:rPr>
        <w:t xml:space="preserve">резидентна грижа (ЦНСТ, ЗЖ, КЦ) - 3 услуги за 248 потребители;</w:t>
      </w:r>
    </w:p>
    <w:p>
      <w:pPr>
        <w:spacing w:before="0" w:after="0" w:line="240"/>
        <w:ind w:right="0" w:left="0" w:firstLine="0"/>
        <w:jc w:val="left"/>
        <w:rPr>
          <w:rFonts w:ascii="Times New Roman" w:hAnsi="Times New Roman" w:cs="Times New Roman" w:eastAsia="Times New Roman"/>
          <w:i/>
          <w:color w:val="auto"/>
          <w:spacing w:val="-4"/>
          <w:position w:val="0"/>
          <w:sz w:val="24"/>
          <w:shd w:fill="auto" w:val="clear"/>
        </w:rPr>
      </w:pPr>
      <w:r>
        <w:rPr>
          <w:rFonts w:ascii="Times New Roman" w:hAnsi="Times New Roman" w:cs="Times New Roman" w:eastAsia="Times New Roman"/>
          <w:color w:val="auto"/>
          <w:spacing w:val="-4"/>
          <w:position w:val="0"/>
          <w:sz w:val="24"/>
          <w:shd w:fill="auto" w:val="clear"/>
        </w:rPr>
        <w:t xml:space="preserve">услугите в специализирани институции за пълнолетни лица ( ДСХ) - 1 услуги за 75 потребители;</w:t>
      </w:r>
    </w:p>
    <w:p>
      <w:pPr>
        <w:spacing w:before="0" w:after="0" w:line="240"/>
        <w:ind w:right="0" w:left="0" w:firstLine="0"/>
        <w:jc w:val="left"/>
        <w:rPr>
          <w:rFonts w:ascii="Times New Roman" w:hAnsi="Times New Roman" w:cs="Times New Roman" w:eastAsia="Times New Roman"/>
          <w:i/>
          <w:color w:val="auto"/>
          <w:spacing w:val="-4"/>
          <w:position w:val="0"/>
          <w:sz w:val="24"/>
          <w:shd w:fill="auto" w:val="clear"/>
        </w:rPr>
      </w:pPr>
      <w:r>
        <w:rPr>
          <w:rFonts w:ascii="Times New Roman" w:hAnsi="Times New Roman" w:cs="Times New Roman" w:eastAsia="Times New Roman"/>
          <w:color w:val="auto"/>
          <w:spacing w:val="-4"/>
          <w:position w:val="0"/>
          <w:sz w:val="24"/>
          <w:shd w:fill="auto" w:val="clear"/>
        </w:rPr>
        <w:t xml:space="preserve">услугите в домашна среда (АП)</w:t>
      </w:r>
      <w:r>
        <w:rPr>
          <w:rFonts w:ascii="Times New Roman" w:hAnsi="Times New Roman" w:cs="Times New Roman" w:eastAsia="Times New Roman"/>
          <w:i/>
          <w:color w:val="auto"/>
          <w:spacing w:val="-4"/>
          <w:position w:val="0"/>
          <w:sz w:val="24"/>
          <w:shd w:fill="auto" w:val="clear"/>
        </w:rPr>
        <w:t xml:space="preserve"> </w:t>
      </w:r>
      <w:r>
        <w:rPr>
          <w:rFonts w:ascii="Times New Roman" w:hAnsi="Times New Roman" w:cs="Times New Roman" w:eastAsia="Times New Roman"/>
          <w:i/>
          <w:color w:val="auto"/>
          <w:spacing w:val="-4"/>
          <w:position w:val="0"/>
          <w:sz w:val="24"/>
          <w:shd w:fill="auto" w:val="clear"/>
        </w:rPr>
        <w:t xml:space="preserve">–</w:t>
      </w:r>
      <w:r>
        <w:rPr>
          <w:rFonts w:ascii="Times New Roman" w:hAnsi="Times New Roman" w:cs="Times New Roman" w:eastAsia="Times New Roman"/>
          <w:i/>
          <w:color w:val="auto"/>
          <w:spacing w:val="-4"/>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11 </w:t>
      </w:r>
      <w:r>
        <w:rPr>
          <w:rFonts w:ascii="Times New Roman" w:hAnsi="Times New Roman" w:cs="Times New Roman" w:eastAsia="Times New Roman"/>
          <w:color w:val="auto"/>
          <w:spacing w:val="-4"/>
          <w:position w:val="0"/>
          <w:sz w:val="24"/>
          <w:shd w:fill="auto" w:val="clear"/>
        </w:rPr>
        <w:t xml:space="preserve">услуги за 810 потребители;</w:t>
      </w:r>
    </w:p>
    <w:p>
      <w:pPr>
        <w:spacing w:before="0" w:after="0" w:line="240"/>
        <w:ind w:right="0" w:left="0" w:firstLine="0"/>
        <w:jc w:val="left"/>
        <w:rPr>
          <w:rFonts w:ascii="Times New Roman" w:hAnsi="Times New Roman" w:cs="Times New Roman" w:eastAsia="Times New Roman"/>
          <w:color w:val="auto"/>
          <w:spacing w:val="-4"/>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4"/>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област Плевен</w:t>
      </w:r>
    </w:p>
    <w:tbl>
      <w:tblPr/>
      <w:tblGrid>
        <w:gridCol w:w="4461"/>
        <w:gridCol w:w="4599"/>
      </w:tblGrid>
      <w:tr>
        <w:trPr>
          <w:trHeight w:val="1" w:hRule="atLeast"/>
          <w:jc w:val="left"/>
        </w:trPr>
        <w:tc>
          <w:tcPr>
            <w:tcW w:w="446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459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446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Асистентска подкрепа</w:t>
            </w:r>
          </w:p>
        </w:tc>
        <w:tc>
          <w:tcPr>
            <w:tcW w:w="4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218</w:t>
            </w:r>
          </w:p>
        </w:tc>
      </w:tr>
      <w:tr>
        <w:trPr>
          <w:trHeight w:val="1" w:hRule="atLeast"/>
          <w:jc w:val="left"/>
        </w:trPr>
        <w:tc>
          <w:tcPr>
            <w:tcW w:w="446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4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446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4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446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4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70</w:t>
            </w:r>
          </w:p>
        </w:tc>
      </w:tr>
      <w:tr>
        <w:trPr>
          <w:trHeight w:val="1" w:hRule="atLeast"/>
          <w:jc w:val="left"/>
        </w:trPr>
        <w:tc>
          <w:tcPr>
            <w:tcW w:w="446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4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446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4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29</w:t>
            </w:r>
          </w:p>
        </w:tc>
      </w:tr>
      <w:tr>
        <w:trPr>
          <w:trHeight w:val="1" w:hRule="atLeast"/>
          <w:jc w:val="left"/>
        </w:trPr>
        <w:tc>
          <w:tcPr>
            <w:tcW w:w="446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4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319</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Общо 646 лица са включени в списъците на чакащите за ползване на социални услуги в териториалния обхват на област Плевен. Голям е и броят на лицата за включване в Асистентска подкрепа и лицата в ЦНСТПЛПР.</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област Плевен, различна от  общината по настоящ адрес</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и интегрирани здравно-социални услуги на територията на област Плевен, различна от общината по настоящ адрес е 367. Най-голям е техният брой в социалните услуги на територията на общините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Плевен, Долна Митрополия, следвани от общините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Пордим, Никопол, Левски.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Впечатление прави, че потребителите на услугите в по-голямата част са от общините на територията на областта.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следващата графика е представено сравнение между функциониращите към момента социални услуги, финансирани от държавния бюджет, съотнесени към социалните услуги по чл. 15 от ЗСУ, максималния брой потребители, съгласно критериите по Наредбата за планиране на социалните услуги и поетите ангажименти от общините в областта.</w:t>
      </w:r>
    </w:p>
    <w:p>
      <w:pPr>
        <w:spacing w:before="0" w:after="0" w:line="259"/>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59"/>
        <w:ind w:right="0" w:left="0" w:firstLine="635"/>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област Плевен за последните 5 години</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Анализа на данните на демографското развитие в област Плевен за периода 2017 г.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2021 </w:t>
      </w:r>
      <w:r>
        <w:rPr>
          <w:rFonts w:ascii="Times New Roman" w:hAnsi="Times New Roman" w:cs="Times New Roman" w:eastAsia="Times New Roman"/>
          <w:color w:val="auto"/>
          <w:spacing w:val="0"/>
          <w:position w:val="0"/>
          <w:sz w:val="24"/>
          <w:shd w:fill="auto" w:val="clear"/>
        </w:rPr>
        <w:t xml:space="preserve">г. показва тенденция към намаление на броя на населението във всички общини.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Във всички общини се отчита ниска раждаемост с тенденция към намаление, висока смъртност и отрицателен естествен прираст. Прогресивно намаляване на относителния дял на лицата в трудоспособна възраст. Устойчива тенденция към емиграция и обезлюдяване. Висок е броя на хората с увреждания, както и на самотно живеещите стари хора от селата в общината, с невъзможност за самообслужване.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Всички тези фактори, показват че на територията на общината населението застарява и има необходимост от социални услуги за резидентна грижа и услуги в домашна среда. Предизвикателство пред общините е и миграцията на населението в трудоспособна възраст към европейски страни, което създава сериозни рискове за децата от тези семейства по отношение на пълноценната родителска грижа, образованието и развитието им.</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По-голяма част от социалните услуги в областта са обезпечени със служители, необходими за предоставянето им.</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Общините са използвали различни възможности за наемане на необходимите служители за извършване на дейностите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специалисти се търсят както в Дирекции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Бюра по труда“, така и на свободния пазар, като на работа се наемат и пенсионери.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Една от предпоставките за ефективност на социалните услуги е наличието на квалифициран и мотивиран персонал. Развитието и обучението на човешките ресурси в тази област е важна предпоставка за качествени услуги, които да съдействат за повишаване и качеството на живот на отделните индивиди, семейства и групи.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база на предоставената от общините информация за заетостта на служителите в социалните услуги, се очертава тенденция за недостиг основно на медицински специалисти и обслужващ персонал.</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Общините Белене, Гулянци, Кнежа, Плевен не са извели прогнозна потребност за необходимия им персонал за функциониране на социалните услуги след трансформирането на съществуващите социални услуги и декомпозирането им по дейности, съгласно чл.15 от Закон за социалните услуги, както и въз основа на определените минимални изисквания в стандартите за качество на социалните услуги, касаещи броя и квалификацията на необходимите служители.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Плевен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са ключов фактор за ефективно социално включване и участие в живота на обществото на всички групи лица, които имат необходимост от подкрепа. Във основа на направения анализ на състоянието на социалните услуги на територията на областта и очерталите се тенденции, могат да се направят следните изводи: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има голям брой социални услуги за резидентна грижа за пълнолетни лица, но броят им е недостатъчен за задоволяване на потребностите на жителите на областта;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Недостатъчен е броят на услугите за дневна и почасова грижа и подкрепа за деца и пълнолетни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Налице е потребност от социални услуги, насочени към подкрепа на деца и техните родители;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Налице е потребност от социални услуги, насочени към подкрепа на деца с увреждания, ранна интервенция на уврежданията и подкрепа на техните семейства;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 територията на областта съществуват интегрирани здравно-социални услуги за деца и пълнолетни лица, но капацитета им е недостатъчен за задоволяване на потребностите;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 територията на  област Плевен не функционират социални услуги, за които е изчерпана необходимостта от предоставянето им;</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Не е установена потребност от намаление на капацитета на социалните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 територията на област Плевен се планира закриване на действащите социални услуги, като същите се трансформират в други подходящи социални услуги, които да удовлетворяват потребностите;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При изготвения обобщен анализ за област Плевен, впечатление прави, че във връзка с деинституционализацията на деца, предстои закриване на специализираната институция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ДМСГ - Плевен община Плевен не е предвидила създаването на </w:t>
      </w:r>
      <w:r>
        <w:rPr>
          <w:rFonts w:ascii="Times New Roman" w:hAnsi="Times New Roman" w:cs="Times New Roman" w:eastAsia="Times New Roman"/>
          <w:color w:val="auto"/>
          <w:spacing w:val="0"/>
          <w:position w:val="0"/>
          <w:sz w:val="24"/>
          <w:shd w:fill="auto" w:val="clear"/>
        </w:rPr>
        <w:t xml:space="preserve">здравно-социални услуги за резидентна грижа за деца с трайни увреждания с потребност от постоянни медицински грижи. На територията на общината функционират 5 социални услуги за резидентна грижа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ЦНСТДБУ с капацитет 68 потребители, на част от тях би могло да се промени профила на социалната услуга;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Осигуряването на равен достъп до услуги на всички нуждаещи се чрез планиране на социални услуги, съгласно реалните потребности и нужди и равномерно разпределение на социалните услуги на територията на област Плевен са съществена част от политиките на областната и общинските администрации. </w:t>
      </w:r>
    </w:p>
    <w:p>
      <w:pPr>
        <w:keepNext w:val="true"/>
        <w:numPr>
          <w:ilvl w:val="0"/>
          <w:numId w:val="2606"/>
        </w:numPr>
        <w:tabs>
          <w:tab w:val="left" w:pos="432" w:leader="none"/>
        </w:tabs>
        <w:spacing w:before="240" w:after="60" w:line="240"/>
        <w:ind w:right="0" w:left="432" w:hanging="432"/>
        <w:jc w:val="both"/>
        <w:rPr>
          <w:rFonts w:ascii="Times New Roman" w:hAnsi="Times New Roman" w:cs="Times New Roman" w:eastAsia="Times New Roman"/>
          <w:b/>
          <w:color w:val="003366"/>
          <w:spacing w:val="0"/>
          <w:position w:val="0"/>
          <w:sz w:val="36"/>
          <w:shd w:fill="auto" w:val="clear"/>
        </w:rPr>
      </w:pPr>
      <w:r>
        <w:rPr>
          <w:rFonts w:ascii="Times New Roman" w:hAnsi="Times New Roman" w:cs="Times New Roman" w:eastAsia="Times New Roman"/>
          <w:b/>
          <w:color w:val="003366"/>
          <w:spacing w:val="0"/>
          <w:position w:val="0"/>
          <w:sz w:val="36"/>
          <w:shd w:fill="auto" w:val="clear"/>
        </w:rPr>
        <w:t xml:space="preserve">СЕВЕРЕН ЦЕНТРАЛЕН РАЙОН</w:t>
      </w:r>
    </w:p>
    <w:p>
      <w:pPr>
        <w:keepNext w:val="true"/>
        <w:numPr>
          <w:ilvl w:val="0"/>
          <w:numId w:val="2606"/>
        </w:numPr>
        <w:tabs>
          <w:tab w:val="left" w:pos="718" w:leader="none"/>
        </w:tabs>
        <w:spacing w:before="360" w:after="120" w:line="240"/>
        <w:ind w:right="0" w:left="718" w:hanging="576"/>
        <w:jc w:val="both"/>
        <w:rPr>
          <w:rFonts w:ascii="Times New Roman" w:hAnsi="Times New Roman" w:cs="Times New Roman" w:eastAsia="Times New Roman"/>
          <w:b/>
          <w:color w:val="003366"/>
          <w:spacing w:val="0"/>
          <w:position w:val="0"/>
          <w:sz w:val="28"/>
          <w:shd w:fill="auto" w:val="clear"/>
        </w:rPr>
      </w:pPr>
      <w:r>
        <w:rPr>
          <w:rFonts w:ascii="Times New Roman" w:hAnsi="Times New Roman" w:cs="Times New Roman" w:eastAsia="Times New Roman"/>
          <w:b/>
          <w:color w:val="003366"/>
          <w:spacing w:val="0"/>
          <w:position w:val="0"/>
          <w:sz w:val="28"/>
          <w:shd w:fill="auto" w:val="clear"/>
        </w:rPr>
        <w:t xml:space="preserve">ОБЛАСТ ВЕЛИКО ТЪРНОВО </w:t>
      </w:r>
    </w:p>
    <w:p>
      <w:pPr>
        <w:keepNext w:val="true"/>
        <w:numPr>
          <w:ilvl w:val="0"/>
          <w:numId w:val="2606"/>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ВЕЛИКО ТЪРНОВО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Велико Търново информацията за населението по настоящ адрес е получена от: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tab/>
      </w:r>
      <w:r>
        <w:rPr>
          <w:rFonts w:ascii="Times New Roman" w:hAnsi="Times New Roman" w:cs="Times New Roman" w:eastAsia="Times New Roman"/>
          <w:color w:val="auto"/>
          <w:spacing w:val="0"/>
          <w:position w:val="0"/>
          <w:sz w:val="24"/>
          <w:shd w:fill="auto" w:val="clear"/>
        </w:rPr>
        <w:t xml:space="preserve">Статистически изследвания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Велико Търново, към Териториално статистическо бюро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Север“;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tab/>
      </w:r>
      <w:r>
        <w:rPr>
          <w:rFonts w:ascii="Times New Roman" w:hAnsi="Times New Roman" w:cs="Times New Roman" w:eastAsia="Times New Roman"/>
          <w:color w:val="auto"/>
          <w:spacing w:val="0"/>
          <w:position w:val="0"/>
          <w:sz w:val="24"/>
          <w:shd w:fill="auto" w:val="clear"/>
        </w:rPr>
        <w:t xml:space="preserve">Отдел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Гражданска регистрация“ при Община Велико Търново;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tab/>
      </w:r>
      <w:r>
        <w:rPr>
          <w:rFonts w:ascii="Times New Roman" w:hAnsi="Times New Roman" w:cs="Times New Roman" w:eastAsia="Times New Roman"/>
          <w:color w:val="auto"/>
          <w:spacing w:val="0"/>
          <w:position w:val="0"/>
          <w:sz w:val="24"/>
          <w:shd w:fill="auto" w:val="clear"/>
        </w:rPr>
        <w:t xml:space="preserve">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Социални дейности и здравеопазване“ при Община Велико Търново;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tab/>
      </w:r>
      <w:r>
        <w:rPr>
          <w:rFonts w:ascii="Times New Roman" w:hAnsi="Times New Roman" w:cs="Times New Roman" w:eastAsia="Times New Roman"/>
          <w:color w:val="auto"/>
          <w:spacing w:val="0"/>
          <w:position w:val="0"/>
          <w:sz w:val="24"/>
          <w:shd w:fill="auto" w:val="clear"/>
        </w:rPr>
        <w:t xml:space="preserve">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Образование, младежки дейности и спорт“ при Община Велико Търново;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tab/>
      </w:r>
      <w:r>
        <w:rPr>
          <w:rFonts w:ascii="Times New Roman" w:hAnsi="Times New Roman" w:cs="Times New Roman" w:eastAsia="Times New Roman"/>
          <w:color w:val="auto"/>
          <w:spacing w:val="0"/>
          <w:position w:val="0"/>
          <w:sz w:val="24"/>
          <w:shd w:fill="auto" w:val="clear"/>
        </w:rPr>
        <w:t xml:space="preserve">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Строителство и устройство на територията“ при Община Велико Търново;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tab/>
      </w:r>
      <w:r>
        <w:rPr>
          <w:rFonts w:ascii="Times New Roman" w:hAnsi="Times New Roman" w:cs="Times New Roman" w:eastAsia="Times New Roman"/>
          <w:color w:val="auto"/>
          <w:spacing w:val="0"/>
          <w:position w:val="0"/>
          <w:sz w:val="24"/>
          <w:shd w:fill="auto" w:val="clear"/>
        </w:rPr>
        <w:t xml:space="preserve">Отдел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Управление на собствеността“ при Община Велико Търново;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tab/>
      </w:r>
      <w:r>
        <w:rPr>
          <w:rFonts w:ascii="Times New Roman" w:hAnsi="Times New Roman" w:cs="Times New Roman" w:eastAsia="Times New Roman"/>
          <w:color w:val="auto"/>
          <w:spacing w:val="0"/>
          <w:position w:val="0"/>
          <w:sz w:val="24"/>
          <w:shd w:fill="auto" w:val="clear"/>
        </w:rPr>
        <w:t xml:space="preserve">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Велико Търново;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tab/>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Агенция за хората с увреждания“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Велико Търново;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tab/>
      </w:r>
      <w:r>
        <w:rPr>
          <w:rFonts w:ascii="Times New Roman" w:hAnsi="Times New Roman" w:cs="Times New Roman" w:eastAsia="Times New Roman"/>
          <w:color w:val="auto"/>
          <w:spacing w:val="0"/>
          <w:position w:val="0"/>
          <w:sz w:val="24"/>
          <w:shd w:fill="auto" w:val="clear"/>
        </w:rPr>
        <w:t xml:space="preserve">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Велико Търново;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tab/>
      </w:r>
      <w:r>
        <w:rPr>
          <w:rFonts w:ascii="Times New Roman" w:hAnsi="Times New Roman" w:cs="Times New Roman" w:eastAsia="Times New Roman"/>
          <w:color w:val="auto"/>
          <w:spacing w:val="0"/>
          <w:position w:val="0"/>
          <w:sz w:val="24"/>
          <w:shd w:fill="auto" w:val="clear"/>
        </w:rPr>
        <w:t xml:space="preserve">Регионална картотека на медицинската експертиза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Велико Търново;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tab/>
      </w:r>
      <w:r>
        <w:rPr>
          <w:rFonts w:ascii="Times New Roman" w:hAnsi="Times New Roman" w:cs="Times New Roman" w:eastAsia="Times New Roman"/>
          <w:color w:val="auto"/>
          <w:spacing w:val="0"/>
          <w:position w:val="0"/>
          <w:sz w:val="24"/>
          <w:shd w:fill="auto" w:val="clear"/>
        </w:rPr>
        <w:t xml:space="preserve">Регионално управление на образованието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Велико Търново;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tab/>
      </w:r>
      <w:r>
        <w:rPr>
          <w:rFonts w:ascii="Times New Roman" w:hAnsi="Times New Roman" w:cs="Times New Roman" w:eastAsia="Times New Roman"/>
          <w:color w:val="auto"/>
          <w:spacing w:val="0"/>
          <w:position w:val="0"/>
          <w:sz w:val="24"/>
          <w:shd w:fill="auto" w:val="clear"/>
        </w:rPr>
        <w:t xml:space="preserve">Център за психично здраве, гр. Велико Търново;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tab/>
      </w:r>
      <w:r>
        <w:rPr>
          <w:rFonts w:ascii="Times New Roman" w:hAnsi="Times New Roman" w:cs="Times New Roman" w:eastAsia="Times New Roman"/>
          <w:color w:val="auto"/>
          <w:spacing w:val="0"/>
          <w:position w:val="0"/>
          <w:sz w:val="24"/>
          <w:shd w:fill="auto" w:val="clear"/>
        </w:rPr>
        <w:t xml:space="preserve">Държавна психиатрична болница, с. Церова кория, общ. Велико Търново;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tab/>
      </w:r>
      <w:r>
        <w:rPr>
          <w:rFonts w:ascii="Times New Roman" w:hAnsi="Times New Roman" w:cs="Times New Roman" w:eastAsia="Times New Roman"/>
          <w:color w:val="auto"/>
          <w:spacing w:val="0"/>
          <w:position w:val="0"/>
          <w:sz w:val="24"/>
          <w:shd w:fill="auto" w:val="clear"/>
        </w:rPr>
        <w:t xml:space="preserve">Социалните услуги, функциониращи на територията на Община Велико Търново;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tab/>
      </w:r>
      <w:r>
        <w:rPr>
          <w:rFonts w:ascii="Times New Roman" w:hAnsi="Times New Roman" w:cs="Times New Roman" w:eastAsia="Times New Roman"/>
          <w:color w:val="auto"/>
          <w:spacing w:val="0"/>
          <w:position w:val="0"/>
          <w:sz w:val="24"/>
          <w:shd w:fill="auto" w:val="clear"/>
        </w:rPr>
        <w:t xml:space="preserve">Кметове и Кметски наместници на населените места на територията на Община Велико Търново.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Велико Търново, към 31.12.2021 г. е 87560 жители, от тях 13654 деца до 18-годишна възраст. Общият брой на лицата с трайни увреждания е 7166, от тях деца 373.</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Велико Търново са разкрити 33 социални услуги, които са делегирани от държавата дейности с общ брой потребители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957, </w:t>
      </w:r>
      <w:r>
        <w:rPr>
          <w:rFonts w:ascii="Times New Roman" w:hAnsi="Times New Roman" w:cs="Times New Roman" w:eastAsia="Times New Roman"/>
          <w:color w:val="auto"/>
          <w:spacing w:val="0"/>
          <w:position w:val="0"/>
          <w:sz w:val="24"/>
          <w:shd w:fill="auto" w:val="clear"/>
        </w:rPr>
        <w:t xml:space="preserve">в т.ч. 208 асистентска подкрепа и 154 в Домовете за стари хора. От тях:</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14</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социални услуги за деца и младежи без увреждания и за деца, пълнолетни лица и семейства в риск (7 Центъра за настаняване от семеен тип за деца без увреждания, 2 Центъра за обществена подкрепа, 1 Преходно жилище за деца от 15 до 18 години, 1 Кризисен център за деца жертва на насилие или жертви на трафик, 2 Кризисни центъра за лица, 1 Наблюдавано жилище за младежи в риск).</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4</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социални услуги</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за възрастни хора в надтрудоспособна възраст и пълнолетни лица с трайни увреждания с определена чужда помощ (2 бр. Дом за стари хора, 1 Дневен център за стари хора и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- 15 </w:t>
      </w:r>
      <w:r>
        <w:rPr>
          <w:rFonts w:ascii="Times New Roman" w:hAnsi="Times New Roman" w:cs="Times New Roman" w:eastAsia="Times New Roman"/>
          <w:color w:val="auto"/>
          <w:spacing w:val="0"/>
          <w:position w:val="0"/>
          <w:sz w:val="24"/>
          <w:shd w:fill="auto" w:val="clear"/>
        </w:rPr>
        <w:t xml:space="preserve">социални услуги за лица с увреждания, в т.ч. и деца с увреждания (3 бр. Защитено жилище за лица с умствена изостаналост, 1 Център за настаняване от семеен тип за младежи с увреждания, 3 Центъра за настаняване от семеен тип на пълнолетни лица с умствена изостаналост, 1 Център за настаняване от семеен тип на пълнолетни лица с психични разстройства, 1 Център за социална рехабилитация и интеграция за възрастни и лица с увреждания над 18 години, 1 Център за социална рехабилитация и интеграция за лица с психични разстройства и лица с интелектуални затруднения, 1 Център за социална рехабилитация  и интеграция за деца и младежи с увреждания, 1 Дневен център за пълнолетни лица с увреждания, 1 Дневен център за деца и младежи с увреждания и 1 Преходно жилище за лица с умствена изостаналост, 1 Дневен център за подкрепа на деца с тежки множествени увреждания и техните семейства).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588"/>
        <w:gridCol w:w="1004"/>
        <w:gridCol w:w="1162"/>
        <w:gridCol w:w="1046"/>
        <w:gridCol w:w="1592"/>
        <w:gridCol w:w="1420"/>
        <w:gridCol w:w="1248"/>
      </w:tblGrid>
      <w:tr>
        <w:trPr>
          <w:trHeight w:val="1" w:hRule="atLeast"/>
          <w:jc w:val="left"/>
        </w:trPr>
        <w:tc>
          <w:tcPr>
            <w:tcW w:w="158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00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116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10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ЦСРИЛ</w:t>
            </w:r>
          </w:p>
        </w:tc>
        <w:tc>
          <w:tcPr>
            <w:tcW w:w="159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142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ЦНСТМУ</w:t>
            </w:r>
          </w:p>
        </w:tc>
        <w:tc>
          <w:tcPr>
            <w:tcW w:w="124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r>
      <w:tr>
        <w:trPr>
          <w:trHeight w:val="1" w:hRule="atLeast"/>
          <w:jc w:val="left"/>
        </w:trPr>
        <w:tc>
          <w:tcPr>
            <w:tcW w:w="15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00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16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04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59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14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15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00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154</w:t>
            </w:r>
          </w:p>
        </w:tc>
        <w:tc>
          <w:tcPr>
            <w:tcW w:w="116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32</w:t>
            </w:r>
          </w:p>
        </w:tc>
        <w:tc>
          <w:tcPr>
            <w:tcW w:w="104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85</w:t>
            </w:r>
          </w:p>
        </w:tc>
        <w:tc>
          <w:tcPr>
            <w:tcW w:w="159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34</w:t>
            </w:r>
          </w:p>
        </w:tc>
        <w:tc>
          <w:tcPr>
            <w:tcW w:w="14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12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588"/>
        <w:gridCol w:w="1562"/>
        <w:gridCol w:w="1221"/>
        <w:gridCol w:w="786"/>
        <w:gridCol w:w="1056"/>
        <w:gridCol w:w="1498"/>
        <w:gridCol w:w="1349"/>
      </w:tblGrid>
      <w:tr>
        <w:trPr>
          <w:trHeight w:val="1" w:hRule="atLeast"/>
          <w:jc w:val="left"/>
        </w:trPr>
        <w:tc>
          <w:tcPr>
            <w:tcW w:w="158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56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122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ПЖЛ</w:t>
            </w:r>
          </w:p>
        </w:tc>
        <w:tc>
          <w:tcPr>
            <w:tcW w:w="78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НЖЛ</w:t>
            </w:r>
          </w:p>
        </w:tc>
        <w:tc>
          <w:tcPr>
            <w:tcW w:w="105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ДЦСХ</w:t>
            </w:r>
          </w:p>
        </w:tc>
        <w:tc>
          <w:tcPr>
            <w:tcW w:w="149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КЦЛ</w:t>
            </w:r>
          </w:p>
        </w:tc>
        <w:tc>
          <w:tcPr>
            <w:tcW w:w="134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15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56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78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05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9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34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5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56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c>
          <w:tcPr>
            <w:tcW w:w="12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78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105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35</w:t>
            </w:r>
          </w:p>
        </w:tc>
        <w:tc>
          <w:tcPr>
            <w:tcW w:w="149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34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208</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592"/>
        <w:gridCol w:w="1140"/>
        <w:gridCol w:w="1078"/>
        <w:gridCol w:w="1426"/>
        <w:gridCol w:w="754"/>
        <w:gridCol w:w="779"/>
        <w:gridCol w:w="852"/>
        <w:gridCol w:w="1439"/>
      </w:tblGrid>
      <w:tr>
        <w:trPr>
          <w:trHeight w:val="280" w:hRule="auto"/>
          <w:jc w:val="left"/>
        </w:trPr>
        <w:tc>
          <w:tcPr>
            <w:tcW w:w="159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14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107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ЦСРИД</w:t>
            </w:r>
          </w:p>
        </w:tc>
        <w:tc>
          <w:tcPr>
            <w:tcW w:w="142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75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КЦД</w:t>
            </w:r>
          </w:p>
        </w:tc>
        <w:tc>
          <w:tcPr>
            <w:tcW w:w="77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85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ПЖД</w:t>
            </w:r>
          </w:p>
        </w:tc>
        <w:tc>
          <w:tcPr>
            <w:tcW w:w="143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ДЦДТМУ</w:t>
            </w:r>
          </w:p>
        </w:tc>
      </w:tr>
      <w:tr>
        <w:trPr>
          <w:trHeight w:val="270" w:hRule="auto"/>
          <w:jc w:val="left"/>
        </w:trPr>
        <w:tc>
          <w:tcPr>
            <w:tcW w:w="159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14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07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2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c>
          <w:tcPr>
            <w:tcW w:w="75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77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8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509" w:hRule="auto"/>
          <w:jc w:val="left"/>
        </w:trPr>
        <w:tc>
          <w:tcPr>
            <w:tcW w:w="159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14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36</w:t>
            </w:r>
          </w:p>
        </w:tc>
        <w:tc>
          <w:tcPr>
            <w:tcW w:w="107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c>
          <w:tcPr>
            <w:tcW w:w="142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76</w:t>
            </w:r>
          </w:p>
        </w:tc>
        <w:tc>
          <w:tcPr>
            <w:tcW w:w="75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77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115</w:t>
            </w:r>
          </w:p>
        </w:tc>
        <w:tc>
          <w:tcPr>
            <w:tcW w:w="8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4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Велико Търново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Велико Търново е 143.</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 </w:t>
      </w:r>
    </w:p>
    <w:tbl>
      <w:tblPr/>
      <w:tblGrid>
        <w:gridCol w:w="4037"/>
        <w:gridCol w:w="5023"/>
      </w:tblGrid>
      <w:tr>
        <w:trPr>
          <w:trHeight w:val="1" w:hRule="atLeast"/>
          <w:jc w:val="left"/>
        </w:trPr>
        <w:tc>
          <w:tcPr>
            <w:tcW w:w="403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02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32</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1703" w:leader="none"/>
                <w:tab w:val="center" w:pos="1777" w:leader="none"/>
              </w:tabs>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33</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Асистентска подкрепа</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53</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Велико Търново,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Във функциониращите на територията на Община Велико Търново социални услуги и интегрирани здравно-социални услуги през 2022 година над 180 са потребителите, в т.ч. деца и лица от други общини, както следва: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831"/>
        <w:gridCol w:w="5229"/>
      </w:tblGrid>
      <w:tr>
        <w:trPr>
          <w:trHeight w:val="1" w:hRule="atLeast"/>
          <w:jc w:val="left"/>
        </w:trPr>
        <w:tc>
          <w:tcPr>
            <w:tcW w:w="383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522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ЦСРИД</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ПЖД</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ЦНСТДМБУ</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КЦД</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НЖ</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935" w:leader="none"/>
                <w:tab w:val="center" w:pos="2010" w:leader="none"/>
              </w:tabs>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49</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КЦПЛ</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45</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ЦСРИЛ</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r>
    </w:tbl>
    <w:p>
      <w:pPr>
        <w:spacing w:before="0" w:after="60" w:line="240"/>
        <w:ind w:right="0" w:left="0" w:firstLine="407"/>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Велико Търново за последните 5 години</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Графиката показва, намаление на общия брой на населението с тенденция към застаряване, ниска раждаемост, висока смъртност и отрицателен естествен прираст.</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момента на извършване на настоящия анализ в социалните услуги, делегирани от държавата дейности има общо 21,5 незаети щатни бройки, които са разпределени, както следва:</w:t>
      </w:r>
    </w:p>
    <w:p>
      <w:pPr>
        <w:tabs>
          <w:tab w:val="left" w:pos="993" w:leader="none"/>
          <w:tab w:val="left" w:pos="1843"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Основни специалисти осъществяващи дейност по ръководство на социални услуги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0.5 </w:t>
      </w:r>
      <w:r>
        <w:rPr>
          <w:rFonts w:ascii="Times New Roman" w:hAnsi="Times New Roman" w:cs="Times New Roman" w:eastAsia="Times New Roman"/>
          <w:color w:val="auto"/>
          <w:spacing w:val="0"/>
          <w:position w:val="0"/>
          <w:sz w:val="24"/>
          <w:shd w:fill="auto" w:val="clear"/>
        </w:rPr>
        <w:t xml:space="preserve">щатни бройки;</w:t>
      </w:r>
    </w:p>
    <w:p>
      <w:pPr>
        <w:tabs>
          <w:tab w:val="left" w:pos="993" w:leader="none"/>
          <w:tab w:val="left" w:pos="1843"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Основни специалисти осъществяващи дейности по предоставяне на социални услуги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7.5 </w:t>
      </w:r>
      <w:r>
        <w:rPr>
          <w:rFonts w:ascii="Times New Roman" w:hAnsi="Times New Roman" w:cs="Times New Roman" w:eastAsia="Times New Roman"/>
          <w:color w:val="auto"/>
          <w:spacing w:val="0"/>
          <w:position w:val="0"/>
          <w:sz w:val="24"/>
          <w:shd w:fill="auto" w:val="clear"/>
        </w:rPr>
        <w:t xml:space="preserve">щатни бройки;</w:t>
      </w:r>
    </w:p>
    <w:p>
      <w:pPr>
        <w:tabs>
          <w:tab w:val="left" w:pos="993" w:leader="none"/>
          <w:tab w:val="left" w:pos="1843"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Препоръчителни специалисти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3.5 </w:t>
      </w:r>
      <w:r>
        <w:rPr>
          <w:rFonts w:ascii="Times New Roman" w:hAnsi="Times New Roman" w:cs="Times New Roman" w:eastAsia="Times New Roman"/>
          <w:color w:val="auto"/>
          <w:spacing w:val="0"/>
          <w:position w:val="0"/>
          <w:sz w:val="24"/>
          <w:shd w:fill="auto" w:val="clear"/>
        </w:rPr>
        <w:t xml:space="preserve">щатни бройки;</w:t>
      </w:r>
    </w:p>
    <w:p>
      <w:pPr>
        <w:tabs>
          <w:tab w:val="left" w:pos="993" w:leader="none"/>
          <w:tab w:val="left" w:pos="1843"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Пряко ангажирани с обслужването на потребителите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3 </w:t>
      </w:r>
      <w:r>
        <w:rPr>
          <w:rFonts w:ascii="Times New Roman" w:hAnsi="Times New Roman" w:cs="Times New Roman" w:eastAsia="Times New Roman"/>
          <w:color w:val="auto"/>
          <w:spacing w:val="0"/>
          <w:position w:val="0"/>
          <w:sz w:val="24"/>
          <w:shd w:fill="auto" w:val="clear"/>
        </w:rPr>
        <w:t xml:space="preserve">щатни бройки;</w:t>
      </w:r>
    </w:p>
    <w:p>
      <w:pPr>
        <w:tabs>
          <w:tab w:val="left" w:pos="993" w:leader="none"/>
          <w:tab w:val="left" w:pos="1843"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Подпомагащи служители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7 </w:t>
      </w:r>
      <w:r>
        <w:rPr>
          <w:rFonts w:ascii="Times New Roman" w:hAnsi="Times New Roman" w:cs="Times New Roman" w:eastAsia="Times New Roman"/>
          <w:color w:val="auto"/>
          <w:spacing w:val="0"/>
          <w:position w:val="0"/>
          <w:sz w:val="24"/>
          <w:shd w:fill="auto" w:val="clear"/>
        </w:rPr>
        <w:t xml:space="preserve">щатни бройки.</w:t>
      </w:r>
    </w:p>
    <w:p>
      <w:pPr>
        <w:tabs>
          <w:tab w:val="left" w:pos="993" w:leader="none"/>
        </w:tabs>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След извършена съпоставка между общия брой служители по утвърдени щатни </w:t>
      </w:r>
      <w:r>
        <w:rPr>
          <w:rFonts w:ascii="Times New Roman" w:hAnsi="Times New Roman" w:cs="Times New Roman" w:eastAsia="Times New Roman"/>
          <w:color w:val="000000"/>
          <w:spacing w:val="0"/>
          <w:position w:val="0"/>
          <w:sz w:val="24"/>
          <w:shd w:fill="auto" w:val="clear"/>
        </w:rPr>
        <w:t xml:space="preserve">разписания на всяка услуга и минималните изисквания за общ брой персонал, съгласно Наредбата за качество на социалните услуги е установена необходимост от допълнителен персонал в следните услуги: ДЦДМУ,ДЦПЛУ, ДЦСХ, ЦСРИДМ, ЦСРИПЛ, ЦОП, ЦНСТДБУ, ЦНСТДМУ, ЦНСТПЛПР, ЦНСТПЛУИ, КЦ за деца, КЦ за ПЛ, ПЖ, НЖ, ЗЖЛУИ, ДСХ.</w:t>
      </w:r>
    </w:p>
    <w:p>
      <w:pPr>
        <w:keepNext w:val="true"/>
        <w:numPr>
          <w:ilvl w:val="0"/>
          <w:numId w:val="2703"/>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ГОРНА ОРЯХОВИЦА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Горна Оряховица информацията за населението по настоящ адрес е получена от НСИ, АХУ, ГДГРАО към МРРБ,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Горна Оряховица,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Горна Оряховица, РЗИ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Велико Търново, социални услуги действащи на територията на община Горна Оряховица и неправителствени организации, управляващи социални услуги, делегирани от държавата дейности. Проведени от община Горна Оряховица специално за целите на планирането на социалните услуги изследвания и проучвания.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Горна Оряховица, към 31.12.2021 г. е 44332 жители, от тях 6787</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деца до 18-годишна възраст. Общият брой на лицата с трайни увреждания е 3 715, от тях деца 127.</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Горна Оряховица са разкрити 6 социални услуги с общ брой потребители - 253 , в т.ч. 121 на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833"/>
        <w:gridCol w:w="1531"/>
        <w:gridCol w:w="1296"/>
        <w:gridCol w:w="1281"/>
        <w:gridCol w:w="1312"/>
        <w:gridCol w:w="968"/>
        <w:gridCol w:w="839"/>
      </w:tblGrid>
      <w:tr>
        <w:trPr>
          <w:trHeight w:val="1" w:hRule="atLeast"/>
          <w:jc w:val="left"/>
        </w:trPr>
        <w:tc>
          <w:tcPr>
            <w:tcW w:w="183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3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ЦНСТМУ</w:t>
            </w:r>
          </w:p>
        </w:tc>
        <w:tc>
          <w:tcPr>
            <w:tcW w:w="129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128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131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96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83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183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53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8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3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83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53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12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28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c>
          <w:tcPr>
            <w:tcW w:w="13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c>
          <w:tcPr>
            <w:tcW w:w="9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8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121</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Горна Оряховица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Горна Оряховица са 18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 </w:t>
      </w: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ЦНСТМУ</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Горна Оряховица,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Горна Оряховица, от други общини е 20.</w:t>
      </w:r>
    </w:p>
    <w:p>
      <w:pPr>
        <w:spacing w:before="0" w:after="60" w:line="240"/>
        <w:ind w:right="0" w:left="0" w:firstLine="708"/>
        <w:jc w:val="both"/>
        <w:rPr>
          <w:rFonts w:ascii="Times New Roman" w:hAnsi="Times New Roman" w:cs="Times New Roman" w:eastAsia="Times New Roman"/>
          <w:color w:val="auto"/>
          <w:spacing w:val="0"/>
          <w:position w:val="0"/>
          <w:sz w:val="24"/>
          <w:shd w:fill="auto" w:val="clear"/>
        </w:rPr>
      </w:pPr>
    </w:p>
    <w:tbl>
      <w:tblPr/>
      <w:tblGrid>
        <w:gridCol w:w="3831"/>
        <w:gridCol w:w="5229"/>
      </w:tblGrid>
      <w:tr>
        <w:trPr>
          <w:trHeight w:val="1" w:hRule="atLeast"/>
          <w:jc w:val="left"/>
        </w:trPr>
        <w:tc>
          <w:tcPr>
            <w:tcW w:w="383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522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ДЦДУ</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ЦНСТМУ</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bl>
    <w:p>
      <w:pPr>
        <w:spacing w:before="0" w:after="6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Горна Оряховица за последните 5 години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Графиката показва намаление на общия брой на населението на общината. Намаляването на населението в младите възрастови групи и във фертилна възраст и увеличаването на относителния дял на населението във високите възрастови групи задълбочава процесите на демографско остаряване на населението, което от своя страна свива възможностите за неговото възпроизводство. Високите стойности на смъртността и относително невисоките стойности на раждаемост водят до отрицателен естествен прираст за територията на община Горна Оряховица. Показателите за механичния прираст на населението показват запазване на тенденцията за увеличаване на външните миграции, предизвикани от лошата икономическа обстановка и високия процент на безработица. Наблюдава се процес на постепенно обезлюдяване на част от населените места на територията на общината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както поради вътрешна миграция и емиграция, така и поради липса на нови раждания за през две или повече поредни години.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Общо 6 са</w:t>
      </w:r>
      <w:r>
        <w:rPr>
          <w:rFonts w:ascii="Times New Roman" w:hAnsi="Times New Roman" w:cs="Times New Roman" w:eastAsia="Times New Roman"/>
          <w:color w:val="003366"/>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незаетите длъжности в социалните услуги делегирани от държавата дейности, функциониращи на територията на община Горна Оряховица.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 постигане на стандартите за квалификация и професионално развитие на служителите които осъществяват дейността по предоставянето на услугата Защитено жилище за лица с умствена изостаналост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Горна Оряховица, в съответствие с Наредбата за качеството на социалните услуги е необходимо увеличаване на длъжностното щатно разписание на услугата с 2 щатни бройки.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Социалната услуга Асистентска подкрепа също е извела потребност от увеличаване на длъжностното щатно разписание с 2 щатни бройки.</w:t>
      </w:r>
    </w:p>
    <w:p>
      <w:pPr>
        <w:keepNext w:val="true"/>
        <w:numPr>
          <w:ilvl w:val="0"/>
          <w:numId w:val="2743"/>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ЕЛЕНА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Елена информацията за населението по настоящ адрес е получена от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Елена, ТСБ, ДБТ, общинска администрация Елена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ГРАО и дирекциите, отговорни за социални, образователни и хуманитарни дейности и др.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Елена, към 31.12.2021 г. е 9553 жители, от тях 1580 деца до 18-годишна възраст. Общият брой на лицата с трайни увреждания е 723 от тях деца 21.</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Елена са разкрити 6 социални услуги, от тях 3 се предоставят в гр. Елена и 3 в с. Илаков рът. Общият капацитет на социалните услуги е за 128 потребители, в т.ч. 40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257"/>
        <w:gridCol w:w="1614"/>
        <w:gridCol w:w="2022"/>
        <w:gridCol w:w="2348"/>
        <w:gridCol w:w="819"/>
      </w:tblGrid>
      <w:tr>
        <w:trPr>
          <w:trHeight w:val="1" w:hRule="atLeast"/>
          <w:jc w:val="left"/>
        </w:trPr>
        <w:tc>
          <w:tcPr>
            <w:tcW w:w="225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6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202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234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81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22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61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0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3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81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2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61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36</w:t>
            </w:r>
          </w:p>
        </w:tc>
        <w:tc>
          <w:tcPr>
            <w:tcW w:w="20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23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42</w:t>
            </w:r>
          </w:p>
        </w:tc>
        <w:tc>
          <w:tcPr>
            <w:tcW w:w="81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Елена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Елена е</w:t>
      </w:r>
      <w:r>
        <w:rPr>
          <w:rFonts w:ascii="Times New Roman" w:hAnsi="Times New Roman" w:cs="Times New Roman" w:eastAsia="Times New Roman"/>
          <w:color w:val="C00000"/>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7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Елена,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Елена, от други общини е 12.</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831"/>
        <w:gridCol w:w="5229"/>
      </w:tblGrid>
      <w:tr>
        <w:trPr>
          <w:trHeight w:val="1" w:hRule="atLeast"/>
          <w:jc w:val="left"/>
        </w:trPr>
        <w:tc>
          <w:tcPr>
            <w:tcW w:w="383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522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Елена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2632"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резултат на установилите се през последните години неблагоприятни тенденции в развитието на демографските процеси, броят на населението продължава да намалява. Най-сериозните проблеми на общината са свързани с намаляващото и застаряващо население, ниската раждаемост и липсата на предприятия които да осигуряват заетост на безработните лица в работоспособна възраст.</w:t>
      </w:r>
    </w:p>
    <w:p>
      <w:pPr>
        <w:tabs>
          <w:tab w:val="left" w:pos="2632"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2632"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момента на анализа назначения персонал в различните услуги покрива определените изисквания в стандартите на качество на социалните услуги с оглед за ефективно качество по предоставяне на услугата.</w:t>
      </w:r>
    </w:p>
    <w:p>
      <w:pPr>
        <w:keepNext w:val="true"/>
        <w:numPr>
          <w:ilvl w:val="0"/>
          <w:numId w:val="2776"/>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ЗЛАТАРИЦА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за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Златарица информацията за населението по настоящ адрес е получена от информационна система ГРАО,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Елена,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 Търново, НСИ.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Златарица, към 31.12.2021 г. е 4192 жители, от тях 774 деца до 18-годишна възраст. Общият брой на лицата с трайни увреждания е 359, от тях деца 10.</w:t>
      </w:r>
    </w:p>
    <w:p>
      <w:pPr>
        <w:spacing w:before="0" w:after="6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Златарица са разкрити 3 социални услуги, които се предоставят в гр. Златарица. Общият капацитет на социалните услуги е за 57 потребители, в т.ч. 16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334"/>
        <w:gridCol w:w="1529"/>
        <w:gridCol w:w="2988"/>
        <w:gridCol w:w="1209"/>
      </w:tblGrid>
      <w:tr>
        <w:trPr>
          <w:trHeight w:val="1" w:hRule="atLeast"/>
          <w:jc w:val="left"/>
        </w:trPr>
        <w:tc>
          <w:tcPr>
            <w:tcW w:w="333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2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298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120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333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52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9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33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52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26</w:t>
            </w:r>
          </w:p>
        </w:tc>
        <w:tc>
          <w:tcPr>
            <w:tcW w:w="29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12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Златарица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Златарица е 16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Асистентска подкрепа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Златарица,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Златарица, от други общини е 24.</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831"/>
        <w:gridCol w:w="5229"/>
      </w:tblGrid>
      <w:tr>
        <w:trPr>
          <w:trHeight w:val="1" w:hRule="atLeast"/>
          <w:jc w:val="left"/>
        </w:trPr>
        <w:tc>
          <w:tcPr>
            <w:tcW w:w="383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522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Златарица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Наблюдава се неблагоприятна тенденция на намаление на населението. През разглеждания период коефициентът на раждаемост в община Златарица варира, като показателите са по-добри от тези на областно и близки до тези на национално ниво. Коефициентът на смъртност е по-висок от този на областно и на национално ниво. Раждаемостта в община Златарица е ниска, а равнището на смъртността е високо - тези нива определят отрицателен естествен прираст на населените.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момента на анализа незаетите длъжности в социалните услуги на територията на община Златарица е 1,5 щатна бройка в ДСХ на длъжност медицинско лице. Заета е 0,5.</w:t>
      </w:r>
    </w:p>
    <w:p>
      <w:pPr>
        <w:keepNext w:val="true"/>
        <w:numPr>
          <w:ilvl w:val="0"/>
          <w:numId w:val="2818"/>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ЛЯСКОВЕЦ</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Лясковец информацията за населението по настоящ адрес е получена от НСИ, Инфостат, РЗИ, ДБТ, ГРАО, ДСП, общинска администрация, кметове на населени места и управители на социални услуги, функциониращи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Лясковец, към 31.12.2021 г. е 11492 жители, от тях 1332 деца до 18-годишна възраст. Общият брой на лицата с трайни увреждания е 1037, от тях деца 29.</w:t>
      </w:r>
    </w:p>
    <w:p>
      <w:pPr>
        <w:spacing w:before="0" w:after="162" w:line="240"/>
        <w:ind w:right="48" w:left="0" w:firstLine="0"/>
        <w:jc w:val="both"/>
        <w:rPr>
          <w:rFonts w:ascii="Times New Roman" w:hAnsi="Times New Roman" w:cs="Times New Roman" w:eastAsia="Times New Roman"/>
          <w:color w:val="000000"/>
          <w:spacing w:val="0"/>
          <w:position w:val="0"/>
          <w:sz w:val="24"/>
          <w:shd w:fill="auto" w:val="clear"/>
        </w:rPr>
      </w:pPr>
    </w:p>
    <w:p>
      <w:pPr>
        <w:spacing w:before="0" w:after="162" w:line="240"/>
        <w:ind w:right="48" w:left="-15" w:firstLine="422"/>
        <w:jc w:val="both"/>
        <w:rPr>
          <w:rFonts w:ascii="Times New Roman" w:hAnsi="Times New Roman" w:cs="Times New Roman" w:eastAsia="Times New Roman"/>
          <w:color w:val="000000"/>
          <w:spacing w:val="0"/>
          <w:position w:val="0"/>
          <w:sz w:val="24"/>
          <w:shd w:fill="auto" w:val="clear"/>
        </w:rPr>
      </w:pPr>
    </w:p>
    <w:p>
      <w:pPr>
        <w:spacing w:before="0" w:after="162" w:line="240"/>
        <w:ind w:right="48" w:left="-15" w:firstLine="422"/>
        <w:jc w:val="both"/>
        <w:rPr>
          <w:rFonts w:ascii="Times New Roman" w:hAnsi="Times New Roman" w:cs="Times New Roman" w:eastAsia="Times New Roman"/>
          <w:color w:val="000000"/>
          <w:spacing w:val="0"/>
          <w:position w:val="0"/>
          <w:sz w:val="24"/>
          <w:shd w:fill="auto" w:val="clear"/>
        </w:rPr>
      </w:pPr>
    </w:p>
    <w:p>
      <w:pPr>
        <w:spacing w:before="0" w:after="162" w:line="240"/>
        <w:ind w:right="48" w:left="-15" w:firstLine="422"/>
        <w:jc w:val="both"/>
        <w:rPr>
          <w:rFonts w:ascii="Times New Roman" w:hAnsi="Times New Roman" w:cs="Times New Roman" w:eastAsia="Times New Roman"/>
          <w:color w:val="000000"/>
          <w:spacing w:val="0"/>
          <w:position w:val="0"/>
          <w:sz w:val="24"/>
          <w:shd w:fill="auto" w:val="clear"/>
        </w:rPr>
      </w:pPr>
    </w:p>
    <w:p>
      <w:pPr>
        <w:spacing w:before="0" w:after="162" w:line="240"/>
        <w:ind w:right="48" w:left="0" w:firstLine="0"/>
        <w:jc w:val="both"/>
        <w:rPr>
          <w:rFonts w:ascii="Times New Roman" w:hAnsi="Times New Roman" w:cs="Times New Roman" w:eastAsia="Times New Roman"/>
          <w:color w:val="000000"/>
          <w:spacing w:val="0"/>
          <w:position w:val="0"/>
          <w:sz w:val="24"/>
          <w:shd w:fill="auto" w:val="clear"/>
        </w:rPr>
      </w:pPr>
    </w:p>
    <w:p>
      <w:pPr>
        <w:spacing w:before="0" w:after="6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Лясковец са разкрити 3 социални услуги, които се предоставят в гр. Лясковец. Общият капацитет на социалните услуги е за 76 потребители, в т.ч. 36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731"/>
        <w:gridCol w:w="1826"/>
        <w:gridCol w:w="2149"/>
        <w:gridCol w:w="1354"/>
      </w:tblGrid>
      <w:tr>
        <w:trPr>
          <w:trHeight w:val="1" w:hRule="atLeast"/>
          <w:jc w:val="left"/>
        </w:trPr>
        <w:tc>
          <w:tcPr>
            <w:tcW w:w="3731"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26"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2149"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ДЦСХ</w:t>
            </w:r>
          </w:p>
        </w:tc>
        <w:tc>
          <w:tcPr>
            <w:tcW w:w="1354"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373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82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1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3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73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82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21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3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36</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Лясковец</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Лясковец,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Във функциониращите социални услуги в община Лясковец, финансирани от държавния бюджет няма лица от други общини.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Лясковец за последните 5 години</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намалява. Очертава се тенденция за намаляване на раждаемостта и увеличаване на смъртността. Естественият прираст е отрицателен. Гъстотата на населението в община Лясковец е по-голяма от средната за страната (за 2021 г. средната гъстота за страната е 62 д. на кв. км.). Броят на селското население се е увеличил, за сметка на броят на градското население. Броят на изселените е по-голям от броят на заселените, от където идва и отрицателния механичен прираст на населението в общината.</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момента, всички длъжности по щатно разписание са заети.</w:t>
      </w:r>
    </w:p>
    <w:p>
      <w:pPr>
        <w:keepNext w:val="true"/>
        <w:numPr>
          <w:ilvl w:val="0"/>
          <w:numId w:val="2837"/>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ПАВЛИКЕНИ</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Павликени информацията за населението по настоящ адрес е получена от НСИ,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Павликени,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Павликени, РЗИ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 Търново, социални услуги, функциониращи на територията на общината, кметове и кметски наместници.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Павликени, към 31.12.2021 г. е 19950 жители, от тях 3292 деца до 18-годишна възраст. Общият брой на лицата с трайни увреждания е 2985, от тях деца 109.</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Павликени са разкрити 9 социални услуги, финансирани от държавния бюджет, от тях 8 се предоставят в гр. Павликени и 1 в с. Карайсен. Общият капацитет на социалните услуги е за 247 потребители, в т.ч. 81 асистентска подкрепа и 35 за Дом за стари хора.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259"/>
        <w:gridCol w:w="1611"/>
        <w:gridCol w:w="2131"/>
        <w:gridCol w:w="1894"/>
        <w:gridCol w:w="1165"/>
      </w:tblGrid>
      <w:tr>
        <w:trPr>
          <w:trHeight w:val="1" w:hRule="atLeast"/>
          <w:jc w:val="left"/>
        </w:trPr>
        <w:tc>
          <w:tcPr>
            <w:tcW w:w="225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61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ЦСРИД</w:t>
            </w:r>
          </w:p>
        </w:tc>
        <w:tc>
          <w:tcPr>
            <w:tcW w:w="213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189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ЦНСТДУ</w:t>
            </w:r>
          </w:p>
        </w:tc>
        <w:tc>
          <w:tcPr>
            <w:tcW w:w="116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r>
      <w:tr>
        <w:trPr>
          <w:trHeight w:val="1" w:hRule="atLeast"/>
          <w:jc w:val="left"/>
        </w:trPr>
        <w:tc>
          <w:tcPr>
            <w:tcW w:w="225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6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1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8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1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25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6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21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c>
          <w:tcPr>
            <w:tcW w:w="18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w:t>
            </w:r>
          </w:p>
        </w:tc>
        <w:tc>
          <w:tcPr>
            <w:tcW w:w="11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704"/>
        <w:gridCol w:w="1253"/>
        <w:gridCol w:w="1238"/>
        <w:gridCol w:w="1932"/>
        <w:gridCol w:w="1933"/>
      </w:tblGrid>
      <w:tr>
        <w:trPr>
          <w:trHeight w:val="1" w:hRule="atLeast"/>
          <w:jc w:val="left"/>
        </w:trPr>
        <w:tc>
          <w:tcPr>
            <w:tcW w:w="270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25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ЦНСТМУ</w:t>
            </w:r>
          </w:p>
        </w:tc>
        <w:tc>
          <w:tcPr>
            <w:tcW w:w="123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193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193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r>
      <w:tr>
        <w:trPr>
          <w:trHeight w:val="1" w:hRule="atLeast"/>
          <w:jc w:val="left"/>
        </w:trPr>
        <w:tc>
          <w:tcPr>
            <w:tcW w:w="270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25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9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9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70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25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12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35</w:t>
            </w:r>
          </w:p>
        </w:tc>
        <w:tc>
          <w:tcPr>
            <w:tcW w:w="19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81</w:t>
            </w:r>
          </w:p>
        </w:tc>
        <w:tc>
          <w:tcPr>
            <w:tcW w:w="19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Павликени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момента на изготвяне на анализа няма желаещи да ползват социалните услуги на територията на община Павликени.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Павликени,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Павликени, от други общини е 72.</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831"/>
        <w:gridCol w:w="5229"/>
      </w:tblGrid>
      <w:tr>
        <w:trPr>
          <w:trHeight w:val="1" w:hRule="atLeast"/>
          <w:jc w:val="left"/>
        </w:trPr>
        <w:tc>
          <w:tcPr>
            <w:tcW w:w="383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522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ДЦДУ</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27</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Павликени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През последните години в Община Павликени се наблюдава тенденция към намаляване на общия брой на населението. Това е в резултат икономическата миграция и застаряващото население в селата от общината. Анализът на данните показва, че възрастовата структура на населението на общината е влошена. Процесът на застаряване на населението е характерен, както за общината, така и за цялата страна. Рязко намалява населението на селата в трудоспособна възраст и се увеличава броя на селските жители на възраст над трудоспособната. Структуроопределящ фактор на демографската характеристика е застаряващото население и породената от това естествената смъртност, която води до общо и трайно намаляване на населението в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Съществено влияние за поддържането на ниски нива на раждаемост оказват възрастовата структура в общината, недостатъчната материална и жилищна осигуреност на семействата, ниския жизнен стандарт, високото ниво на безработица сред младите възрастови групи, намаляване на фертилния контингент, поради вътрешната и външна миграция в трудоспособна и детеродна възраст при жените, психологическата нагласа за малко деца в семейството и други социални предпоставки.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Естественият прираст в общината е отрицателен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около средния за областта и страната, което се дължи на ниския коефициент на раждаемост и високия коефициент на смъртност.</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r>
        <w:rPr>
          <w:rFonts w:ascii="Times New Roman" w:hAnsi="Times New Roman" w:cs="Times New Roman" w:eastAsia="Times New Roman"/>
          <w:b/>
          <w:color w:val="auto"/>
          <w:spacing w:val="0"/>
          <w:position w:val="0"/>
          <w:sz w:val="24"/>
          <w:shd w:fill="auto" w:val="clear"/>
        </w:rPr>
        <w:t xml:space="preserve"> </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Съгласно нормативната уредба, според вида на социалната услуга и потребностите на потребителите е осигурен необходимия човешки ресурс от основни специалисти, осъществяващи дейности по предоставяне на социалната услуга; служители, подпомагащи функционирането на социалната услуга; служители, пряко ангажирани с обслужването на потребителите. Към момента на изготвяне на анализа назначения персонал в различните социални услуги покрива определените изисквания, съгласно стандартите за качество, разписани н НКСУ с оглед ефективното им предоставяне.</w:t>
      </w:r>
    </w:p>
    <w:p>
      <w:pPr>
        <w:keepNext w:val="true"/>
        <w:numPr>
          <w:ilvl w:val="0"/>
          <w:numId w:val="2877"/>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ПОЛСКИ ТРЪМБЕШ</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са използвани официални източници на информация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данни на РДСП, РИО на МОН, РЦЗ, ДБТ, ТСБ, ДСП, ГРАО, Местна комисия за борба с противообществените прояви на малолетни и непълнолетни,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Полски Тръмбеш, към 31.12.2021 г. е 13602 жители, от тях 2019 деца до 18-годишна възраст. Общият брой на лицата с трайни увреждания е 1459, от тях деца 52.</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Полски Тръмбеш са разкрити 3 социални услуги, и всички се предоставят в гр. Полски Тръмбеш. Общият капацитет на социалните услуги е за 117 потребители, в т.ч. 47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569"/>
        <w:gridCol w:w="2448"/>
        <w:gridCol w:w="1747"/>
        <w:gridCol w:w="1296"/>
      </w:tblGrid>
      <w:tr>
        <w:trPr>
          <w:trHeight w:val="1" w:hRule="atLeast"/>
          <w:jc w:val="left"/>
        </w:trPr>
        <w:tc>
          <w:tcPr>
            <w:tcW w:w="356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4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ЦСРИЛ</w:t>
            </w:r>
          </w:p>
        </w:tc>
        <w:tc>
          <w:tcPr>
            <w:tcW w:w="174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129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356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4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4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56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4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35</w:t>
            </w:r>
          </w:p>
        </w:tc>
        <w:tc>
          <w:tcPr>
            <w:tcW w:w="174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35</w:t>
            </w:r>
          </w:p>
        </w:tc>
        <w:tc>
          <w:tcPr>
            <w:tcW w:w="12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47</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Полски Тръмбеш</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Полски Тръмбеш е 8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ЦСРИЛ</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Асистентска подкрепа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Полски Тръмбеш,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Във функциониращите на територията на общината социални услуги няма ползватели от други общини.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Полски Тръмбеш за последните 5 години</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4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Наблюдава се процес на трайно намаляване на населението в общината с тенденция към застаряване. Възрастовата структура е влошена, поради което възпроизводството на населението се осъществява при отрицателен прираст. Най-голям е делът на населението в трудоспособна и в пенсионна възраст. Пропорцията между трите възрастови групи говори за регресивен тип на възрастовата структура. Съществено влияние за поддържането на ниски нива на раждаемост оказват възрастовата структура в общината, ниския жизнен стандарт, ниво на безработица сред хората с по-ниско от висше образование, намаляване на фертилния контингент, поради вътрешната и външна миграция в детеродна възраст при жените, психологическата нагласа за малко деца в семейството и други социални предпоставки.</w:t>
      </w:r>
    </w:p>
    <w:p>
      <w:pPr>
        <w:spacing w:before="0" w:after="4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r>
        <w:rPr>
          <w:rFonts w:ascii="Times New Roman" w:hAnsi="Times New Roman" w:cs="Times New Roman" w:eastAsia="Times New Roman"/>
          <w:b/>
          <w:color w:val="auto"/>
          <w:spacing w:val="0"/>
          <w:position w:val="0"/>
          <w:sz w:val="24"/>
          <w:shd w:fill="auto" w:val="clear"/>
        </w:rPr>
        <w:t xml:space="preserve"> </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Съществуващите към настоящия момент социални услуги са обезпечени с необходимия брой специалисти и обслужващ персонал и няма незаети длъжности.</w:t>
      </w:r>
    </w:p>
    <w:p>
      <w:pPr>
        <w:keepNext w:val="true"/>
        <w:numPr>
          <w:ilvl w:val="0"/>
          <w:numId w:val="2909"/>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СВИЩОВ</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При изготвянето на анализа са използвани официални източници на информация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данни на РЗИ, ДСП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Свищов, ДБТ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Свищов, НСИ, вътрешни структури и отдели в общината - ГРАО, отдел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Образование“, социални дейности и услуги.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Свищов, към 31.12.2021 г. е 35141 жители, от тях 4905 деца до 18-годишна възраст. Общият брой на лицата с трайни увреждания е 2953, от тях деца 117.</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Свищов са разкрити 8 социални услуги с общ капацитет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375 </w:t>
      </w:r>
      <w:r>
        <w:rPr>
          <w:rFonts w:ascii="Times New Roman" w:hAnsi="Times New Roman" w:cs="Times New Roman" w:eastAsia="Times New Roman"/>
          <w:color w:val="auto"/>
          <w:spacing w:val="0"/>
          <w:position w:val="0"/>
          <w:sz w:val="24"/>
          <w:shd w:fill="auto" w:val="clear"/>
        </w:rPr>
        <w:t xml:space="preserve">потребители , в т.ч. 95 на асистентска подкрепа.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672"/>
        <w:gridCol w:w="765"/>
        <w:gridCol w:w="1194"/>
        <w:gridCol w:w="817"/>
        <w:gridCol w:w="1145"/>
        <w:gridCol w:w="1529"/>
        <w:gridCol w:w="1335"/>
        <w:gridCol w:w="603"/>
      </w:tblGrid>
      <w:tr>
        <w:trPr>
          <w:trHeight w:val="1" w:hRule="atLeast"/>
          <w:jc w:val="left"/>
        </w:trPr>
        <w:tc>
          <w:tcPr>
            <w:tcW w:w="167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76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119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81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114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ЦСРИЛ</w:t>
            </w:r>
          </w:p>
        </w:tc>
        <w:tc>
          <w:tcPr>
            <w:tcW w:w="152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ЦНСТПЛД</w:t>
            </w:r>
          </w:p>
        </w:tc>
        <w:tc>
          <w:tcPr>
            <w:tcW w:w="133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ЦНСТСХ</w:t>
            </w:r>
          </w:p>
        </w:tc>
        <w:tc>
          <w:tcPr>
            <w:tcW w:w="60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167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76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9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4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3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6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67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76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125</w:t>
            </w:r>
          </w:p>
        </w:tc>
        <w:tc>
          <w:tcPr>
            <w:tcW w:w="119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c>
          <w:tcPr>
            <w:tcW w:w="8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50</w:t>
            </w:r>
          </w:p>
        </w:tc>
        <w:tc>
          <w:tcPr>
            <w:tcW w:w="114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5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3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6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95</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Свищов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Свищов е 12 пълнолетни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ЦНСТПЛД</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ЦНСТСХ</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Асистентска подкрепа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bl>
    <w:p>
      <w:pPr>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Свищов,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Свищов, от други общини е 78.</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831"/>
        <w:gridCol w:w="5229"/>
      </w:tblGrid>
      <w:tr>
        <w:trPr>
          <w:trHeight w:val="1" w:hRule="atLeast"/>
          <w:jc w:val="left"/>
        </w:trPr>
        <w:tc>
          <w:tcPr>
            <w:tcW w:w="383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522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ДЦДУ</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ЦНСТСХ</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ЦНСТПЛД</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55</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Свищов за последните 5 години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Динамиката на раждаемостта и смъртността дефинират наличието на трайна тенденция на намаляване на естествения прираст на населението в общината. Тенденциите в демографските показатели, следват общите тенденции в демографското развитие на цялата страна - намалена раждаемост, увеличена смъртност, засилена урбанизация и интензивна емиграция.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r>
        <w:rPr>
          <w:rFonts w:ascii="Times New Roman" w:hAnsi="Times New Roman" w:cs="Times New Roman" w:eastAsia="Times New Roman"/>
          <w:b/>
          <w:color w:val="auto"/>
          <w:spacing w:val="0"/>
          <w:position w:val="0"/>
          <w:sz w:val="24"/>
          <w:shd w:fill="auto" w:val="clear"/>
        </w:rPr>
        <w:t xml:space="preserve"> </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ДЦДУ щатно разписание 16,5, действителна заетост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15,5; </w:t>
      </w:r>
      <w:r>
        <w:rPr>
          <w:rFonts w:ascii="Times New Roman" w:hAnsi="Times New Roman" w:cs="Times New Roman" w:eastAsia="Times New Roman"/>
          <w:color w:val="auto"/>
          <w:spacing w:val="0"/>
          <w:position w:val="0"/>
          <w:sz w:val="24"/>
          <w:shd w:fill="auto" w:val="clear"/>
        </w:rPr>
        <w:t xml:space="preserve">ЦНСТПЛД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щатно разписание 14, действителна заетост 13; ДСХ щатно разписание 55, действителна заетост 51. От данните е видно, че е малък относителния дял на незаетите места, което в по-голяма степен се отнася до нуждата от специалисти. Към настоящия момент назначеният персонал в действащите социални услуги на територията на община Свищов покриват изискванията на Наредбата за качеството на социалните услуги.</w:t>
      </w:r>
    </w:p>
    <w:p>
      <w:pPr>
        <w:keepNext w:val="true"/>
        <w:numPr>
          <w:ilvl w:val="0"/>
          <w:numId w:val="2955"/>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СТРАЖИЦА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са използвани официални източници на информация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НСИ,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 Оряховица,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Стражица, Кметове и кметски наместници, Ръководители на действащите социални услуги, общинска администрация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ЕСГРАОН,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Хуманитарни дейности“.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Стражица, към 31.12.2021 г. е 13646 жители, от тях 2828 деца до 18-годишна възраст. Общият брой на лицата с трайни увреждания е 1103, от тях деца 53.</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Стражица са разкрити 8 социални услуги, като 7 се предоставят в гр. Стражица и в с. Горски Сеновец. Общият капацитет на социалните услуги е за 171 потребители, в т.ч. 38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287"/>
        <w:gridCol w:w="1616"/>
        <w:gridCol w:w="1118"/>
        <w:gridCol w:w="2049"/>
        <w:gridCol w:w="1160"/>
        <w:gridCol w:w="830"/>
      </w:tblGrid>
      <w:tr>
        <w:trPr>
          <w:trHeight w:val="308" w:hRule="auto"/>
          <w:jc w:val="left"/>
        </w:trPr>
        <w:tc>
          <w:tcPr>
            <w:tcW w:w="228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61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111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204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1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ПЖД</w:t>
            </w:r>
          </w:p>
        </w:tc>
        <w:tc>
          <w:tcPr>
            <w:tcW w:w="83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296" w:hRule="auto"/>
          <w:jc w:val="left"/>
        </w:trPr>
        <w:tc>
          <w:tcPr>
            <w:tcW w:w="22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6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0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369" w:hRule="auto"/>
          <w:jc w:val="left"/>
        </w:trPr>
        <w:tc>
          <w:tcPr>
            <w:tcW w:w="22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6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1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20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c>
          <w:tcPr>
            <w:tcW w:w="11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8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38</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810"/>
        <w:gridCol w:w="2010"/>
        <w:gridCol w:w="2220"/>
        <w:gridCol w:w="2020"/>
      </w:tblGrid>
      <w:tr>
        <w:trPr>
          <w:trHeight w:val="308" w:hRule="auto"/>
          <w:jc w:val="left"/>
        </w:trPr>
        <w:tc>
          <w:tcPr>
            <w:tcW w:w="281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01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ДЦДМУ</w:t>
            </w:r>
          </w:p>
        </w:tc>
        <w:tc>
          <w:tcPr>
            <w:tcW w:w="222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ЦСРИЛД</w:t>
            </w:r>
          </w:p>
        </w:tc>
        <w:tc>
          <w:tcPr>
            <w:tcW w:w="202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ЗЖЛФУ</w:t>
            </w:r>
          </w:p>
        </w:tc>
      </w:tr>
      <w:tr>
        <w:trPr>
          <w:trHeight w:val="296" w:hRule="auto"/>
          <w:jc w:val="left"/>
        </w:trPr>
        <w:tc>
          <w:tcPr>
            <w:tcW w:w="281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01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2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0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376" w:hRule="auto"/>
          <w:jc w:val="left"/>
        </w:trPr>
        <w:tc>
          <w:tcPr>
            <w:tcW w:w="281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01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22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50</w:t>
            </w:r>
          </w:p>
        </w:tc>
        <w:tc>
          <w:tcPr>
            <w:tcW w:w="20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Стражица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Стражица е 3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ЗЖЛФУ</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Стражица,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Един потребител от община Лясковец ползва социална услуга в община Стражица. </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tbl>
      <w:tblPr/>
      <w:tblGrid>
        <w:gridCol w:w="3831"/>
        <w:gridCol w:w="5229"/>
      </w:tblGrid>
      <w:tr>
        <w:trPr>
          <w:trHeight w:val="1" w:hRule="atLeast"/>
          <w:jc w:val="left"/>
        </w:trPr>
        <w:tc>
          <w:tcPr>
            <w:tcW w:w="383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522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ЦСРИЛД</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bl>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Стражица за последните 5 години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Като заключение и както е видно от предоставените данни от НСИ данни се наблюдава тенденция на плавно намаляване на населението.</w:t>
      </w:r>
    </w:p>
    <w:p>
      <w:pPr>
        <w:tabs>
          <w:tab w:val="left" w:pos="5569"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r>
        <w:rPr>
          <w:rFonts w:ascii="Times New Roman" w:hAnsi="Times New Roman" w:cs="Times New Roman" w:eastAsia="Times New Roman"/>
          <w:b/>
          <w:color w:val="auto"/>
          <w:spacing w:val="0"/>
          <w:position w:val="0"/>
          <w:sz w:val="24"/>
          <w:shd w:fill="auto" w:val="clear"/>
        </w:rPr>
        <w:t xml:space="preserve">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Кмета на община Стражица в качеството му на доставчик на социални услуги е назначил за всяка отделна услуга ръководител. Ръководителят от своя страна е работодател на служителите осъществяващи дейности по предоставяне на социалните услуги. Съгласно социалната нормативната уредба според вида на услугата и потребностите на потребителите е осигурен и необходимия персонал от основни, препоръчителни, пряко ангажирани и подпомагащи специалисти.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момента на изготвяне на анализа назначения персонал в различните услуги покрива определените минимални изисквания, съгласно стандартите за качество на социалните услуги с оглед ефективното им предоставяне.</w:t>
      </w:r>
    </w:p>
    <w:p>
      <w:pPr>
        <w:keepNext w:val="true"/>
        <w:numPr>
          <w:ilvl w:val="0"/>
          <w:numId w:val="3003"/>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 </w:t>
      </w:r>
      <w:r>
        <w:rPr>
          <w:rFonts w:ascii="Times New Roman" w:hAnsi="Times New Roman" w:cs="Times New Roman" w:eastAsia="Times New Roman"/>
          <w:b/>
          <w:color w:val="003366"/>
          <w:spacing w:val="0"/>
          <w:position w:val="0"/>
          <w:sz w:val="24"/>
          <w:shd w:fill="auto" w:val="clear"/>
        </w:rPr>
        <w:t xml:space="preserve">ОБЩИНА СУХИНДОЛ</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са използвани официални източници на информация- НСИ, МОН, РЗИ, Общинска администрация,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Павликени, ДБТ, Местна комисия за борба с противообществените прояви на малолетни и непълнолетни и др</w:t>
      </w:r>
      <w:r>
        <w:rPr>
          <w:rFonts w:ascii="Times New Roman" w:hAnsi="Times New Roman" w:cs="Times New Roman" w:eastAsia="Times New Roman"/>
          <w:b/>
          <w:i/>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Сухиндол, към 31.12.2021 г. е 2119 жители, от тях 233 деца до 18-годишна възраст. Общият брой на лицата с трайни увреждания е 314, от тях деца 9.</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Сухиндол е разкрита социалната услуга Асистентска подкрепа с брой потребители - 10.</w:t>
      </w:r>
    </w:p>
    <w:tbl>
      <w:tblPr/>
      <w:tblGrid>
        <w:gridCol w:w="6648"/>
        <w:gridCol w:w="2412"/>
      </w:tblGrid>
      <w:tr>
        <w:trPr>
          <w:trHeight w:val="1" w:hRule="atLeast"/>
          <w:jc w:val="left"/>
        </w:trPr>
        <w:tc>
          <w:tcPr>
            <w:tcW w:w="6648"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412"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66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4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66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4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Сухиндол</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момента на изготвяне на анализа няма желаещи да ползват социалната услуга в община Сухиндол.</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Сухиндол,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лица от други общини, които да ползват социални услуги в община Сухиндол.</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Сухиндол за последните 5 години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Населението на община Сухиндол трайно намалява. Естественият и механичният прираст са отрицателни. Тенденцията във възрастовата структура през последните години е към застаряване на населението и намаляване на броя на лицата. Динамиката на раждаемостта е трайно намаляваща. Въпреки, че раждаемостта в община Сухиндол е над средната за региона, населението на общината спада с бързи темпове, поради високият коефициент на смъртност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повече от два пъти по-висок от средния за Северен централен регион и повече от 2,5 пъти над този да страната. </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r>
        <w:rPr>
          <w:rFonts w:ascii="Times New Roman" w:hAnsi="Times New Roman" w:cs="Times New Roman" w:eastAsia="Times New Roman"/>
          <w:b/>
          <w:color w:val="auto"/>
          <w:spacing w:val="0"/>
          <w:position w:val="0"/>
          <w:sz w:val="24"/>
          <w:shd w:fill="auto" w:val="clear"/>
        </w:rPr>
        <w:t xml:space="preserve"> </w:t>
      </w:r>
    </w:p>
    <w:p>
      <w:pPr>
        <w:spacing w:before="12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предоставените данни за наличните социални услуги на територията на община Сухиндол (Асистентска подкрепа) е видно, че общия брой служители е 4 и към момента покрива нуждите.</w:t>
      </w:r>
    </w:p>
    <w:p>
      <w:pPr>
        <w:keepNext w:val="true"/>
        <w:numPr>
          <w:ilvl w:val="0"/>
          <w:numId w:val="3025"/>
        </w:numPr>
        <w:tabs>
          <w:tab w:val="left" w:pos="718" w:leader="none"/>
        </w:tabs>
        <w:spacing w:before="360" w:after="120" w:line="240"/>
        <w:ind w:right="0" w:left="718"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АНАЛИЗ НА ПОТРЕБНОСТИТЕ В ОБЛАСТ ВЕЛИКО ТЪРНОВО (обобщено)</w:t>
      </w:r>
    </w:p>
    <w:p>
      <w:pPr>
        <w:spacing w:before="0" w:after="4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обобщени за област Велико Търново по общини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общините от област Велико Търново информацията за населението по критериите съгласно Наредбата за планиране на социалните услуги е получена от отдел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Статистически данни“- Велико Търново към ТСБ Север, информационна система ГРАО, Агенция за хората с увреждания, РЗИ, ДСП, ДБТ, кметове и кметски наместници, училища, лечебни заведения, социални услуги и др.</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област Велико Търново, към 31.12.2021 г. е 241587 жители, от тях 37404 деца до 18-годишна възраст. Общият брой на лицата с трайни увреждания е 21814, от тях деца 900.</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областта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брои на социалните услуги на територията на област Велико Търново е 80 с 2391 потребители. Броят на социалните услуги за пълнолетни лица е 46, с 1561 потребители.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за деца са 34 със 830 потребители</w:t>
      </w:r>
      <w:r>
        <w:rPr>
          <w:rFonts w:ascii="Times New Roman" w:hAnsi="Times New Roman" w:cs="Times New Roman" w:eastAsia="Times New Roman"/>
          <w:b/>
          <w:i/>
          <w:color w:val="auto"/>
          <w:spacing w:val="0"/>
          <w:position w:val="0"/>
          <w:sz w:val="24"/>
          <w:shd w:fill="auto" w:val="clear"/>
        </w:rPr>
        <w:t xml:space="preserve">.</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графиките е видно, че на територията на областта преобладават услугите за резидентна грижа (ЦНСТ, ЗЖ, ПЖ, НЖ, КЦ,) 39 услуги за 435 потребители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услугите в домашна среда (АП)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10 </w:t>
      </w:r>
      <w:r>
        <w:rPr>
          <w:rFonts w:ascii="Times New Roman" w:hAnsi="Times New Roman" w:cs="Times New Roman" w:eastAsia="Times New Roman"/>
          <w:color w:val="auto"/>
          <w:spacing w:val="0"/>
          <w:position w:val="0"/>
          <w:sz w:val="24"/>
          <w:shd w:fill="auto" w:val="clear"/>
        </w:rPr>
        <w:t xml:space="preserve">услуги за 692 потребители, услугите в специализирани институции за пълнолетни лица (ДСХ) 5 услуги за 340 потребители </w:t>
      </w:r>
      <w:r>
        <w:rPr>
          <w:rFonts w:ascii="Times New Roman" w:hAnsi="Times New Roman" w:cs="Times New Roman" w:eastAsia="Times New Roman"/>
          <w:color w:val="C00000"/>
          <w:spacing w:val="0"/>
          <w:position w:val="0"/>
          <w:sz w:val="24"/>
          <w:shd w:fill="auto" w:val="clear"/>
        </w:rPr>
        <w:t xml:space="preserve">–</w:t>
      </w:r>
      <w:r>
        <w:rPr>
          <w:rFonts w:ascii="Times New Roman" w:hAnsi="Times New Roman" w:cs="Times New Roman" w:eastAsia="Times New Roman"/>
          <w:color w:val="C00000"/>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консултативни услуги (ДЦ, ЦСРИ, ЦОП)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26 </w:t>
      </w:r>
      <w:r>
        <w:rPr>
          <w:rFonts w:ascii="Times New Roman" w:hAnsi="Times New Roman" w:cs="Times New Roman" w:eastAsia="Times New Roman"/>
          <w:color w:val="auto"/>
          <w:spacing w:val="0"/>
          <w:position w:val="0"/>
          <w:sz w:val="24"/>
          <w:shd w:fill="auto" w:val="clear"/>
        </w:rPr>
        <w:t xml:space="preserve">услуги за 924 потребители.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област Велико Търново</w:t>
      </w:r>
    </w:p>
    <w:tbl>
      <w:tblPr/>
      <w:tblGrid>
        <w:gridCol w:w="4037"/>
        <w:gridCol w:w="5023"/>
      </w:tblGrid>
      <w:tr>
        <w:trPr>
          <w:trHeight w:val="1" w:hRule="atLeast"/>
          <w:jc w:val="left"/>
        </w:trPr>
        <w:tc>
          <w:tcPr>
            <w:tcW w:w="403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02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Асистентска подкрепа</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80</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39</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36</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ЦНСТПЛД</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ЦНСТСХ</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ЦНСТМУ</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ЗЖЛФУ</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ЦСРИЛ</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4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Общо 207 лица са включени в списъците на чакащите за ползване на социални услуги в териториалния обхват на област Велико Търново. Голям е и броят на лицата за включване в Асистентска подкрепа.</w:t>
      </w:r>
    </w:p>
    <w:p>
      <w:pPr>
        <w:spacing w:before="0" w:after="4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област Велико Търново, различна от  общината по настоящ адрес</w:t>
      </w:r>
    </w:p>
    <w:p>
      <w:pPr>
        <w:spacing w:before="0" w:after="6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635"/>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и интегрирани здравно-социални услуги на територията на област Велико Търново, различна от общината по настоящ адрес е 391. Най-голям е техният брой в социалните услуги на територията на общините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Велико Търново, Свищов, Павликени, следвани от общините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Златарица, Горна Оряховица, Елена и Стражица. В общини Лясковец и Полски Тръмбеш няма потребители на социалните услуги от други общини. В община Сухиндол</w:t>
      </w:r>
      <w:r>
        <w:rPr>
          <w:rFonts w:ascii="Times New Roman" w:hAnsi="Times New Roman" w:cs="Times New Roman" w:eastAsia="Times New Roman"/>
          <w:color w:val="C00000"/>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се предоставя единствено Асистентска подкрепа и потребителите са от съответната община.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следващата графика е представено сравнение между функциониращите към момента социални услуги, финансирани от държавния бюджет, съотнесени към социалните услуги по чл. 15 от ЗСУ, максималния брой потребители, съгласно критериите по Наредбата за планиране на социалните услуги и поетите ангажименти от общините в областта.</w:t>
      </w:r>
    </w:p>
    <w:p>
      <w:pPr>
        <w:spacing w:before="0" w:after="6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област Велико Търново за последните 5 години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4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4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Анализа на данните на демографското развитие в област Велико Търново за периода 2021 г.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2017 </w:t>
      </w:r>
      <w:r>
        <w:rPr>
          <w:rFonts w:ascii="Times New Roman" w:hAnsi="Times New Roman" w:cs="Times New Roman" w:eastAsia="Times New Roman"/>
          <w:color w:val="auto"/>
          <w:spacing w:val="0"/>
          <w:position w:val="0"/>
          <w:sz w:val="24"/>
          <w:shd w:fill="auto" w:val="clear"/>
        </w:rPr>
        <w:t xml:space="preserve">г. показва тенденция към намаление на броя на населението във всички общини. Във всички общини се отчита ниска раждаемост с тенденция към намаление, висока смъртност и отрицателен естествен прираст. Прогресивно намаляване на относителния дял на лицата в трудоспособна възраст. Устойчива тенденция към емиграция и обезлюдяване. Висок е броя на хората с увреждания, както и на самотно живеещите стари хора от селата в общината, с невъзможност за самообслужване. Наблюдава се процес на постепенно обезлюдяване на част от населените места на територията на областта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както поради вътрешна миграция и емиграция, така и поради липса на нови раждания за през две или повече поредни години.</w:t>
      </w:r>
    </w:p>
    <w:p>
      <w:pPr>
        <w:spacing w:before="0" w:after="4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Всички тези фактори, показват че на територията на областта населението застарява и има необходимост от социални услуги за резидентна грижа и услуги в домашна среда.</w:t>
      </w:r>
    </w:p>
    <w:p>
      <w:pPr>
        <w:spacing w:before="0" w:after="4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настоящия момент всички общини имат ползватели на механизма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Лична помощ“ по реда на Закона за личната помощ, участват и в процедура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Топъл обяд“</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 Програма за храни и основно материално подпомагане 2021 г. -2027 г., в процедура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Патронажна грижа +“ и др. с оглед осигуряване на възможност за грижа и подкрепа на по-голяма част от населението в областта. Предизвикателство пред общините е и миграцията на населението в трудоспособна възраст към скандинавските и други европейски страни, което създава сериозни рискове за децата от тези семейства по отношение на пълноценната родителска грижа, образованието и развитието им.</w:t>
      </w:r>
    </w:p>
    <w:p>
      <w:pPr>
        <w:spacing w:before="0" w:after="4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момента на изготвяне на анализа назначения персонал в различните услуги покрива определените минимални изисквания, съгласно стандартите за качество на социалните услуги с оглед ефективното им предоставяне. От данните е видно, че е малък относителния дял на незаетите места, което в по-голяма степен се отнася до нуждата от специалисти.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Общо 6 са</w:t>
      </w:r>
      <w:r>
        <w:rPr>
          <w:rFonts w:ascii="Times New Roman" w:hAnsi="Times New Roman" w:cs="Times New Roman" w:eastAsia="Times New Roman"/>
          <w:color w:val="003366"/>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незаетите длъжности в социалните услуги делегирани от държавата дейности, функциониращи на територията на община Горна Оряховица. Изведен е извод за увеличаване на длъжностното щатно разписание с по 2 щатни бройки за социалните услуги ЗЖЛУИ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Горна Оряховица и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 община Велико Търново е установена необходимост от допълнителен персонал в следните услуги: ДЦДМУ,ДЦПЛУ, ДЦСХ, ЦСРИДМ, ЦСРИПЛ, ЦОП, ЦНСТДБУ, ЦНСТДМУ, ЦНСТПЛПР, ЦНСТПЛУИ, КЦ  за деца, КЦ за ПЛ, ПЖ, НЖ, ЗЖЛУИ, ДСХ.</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Една от предпоставките за ефективност на социалните услуги е наличието на квалифициран и мотивиран персонал. Развитието и обучението на човешките ресурси в тази област е важна предпоставка за качествени услуги, които да съдействат за повишаване и качеството на живот на отделните индивиди, семейства и групи.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Велико Търново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са ключов фактор за ефективно социално включване и участие в живота на обществото на всички групи лица, които имат необходимост от подкрепа. Във основа на направения анализ на състоянието на социалните услуги на територията на областта и очерталите се тенденции, могат да се направят следните изводи: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Съществуващите на територията на областта социални услуги за резидентна грижа за пълнолетни лица са недостатъчни за задоволяване на потребностите на жителите на областта;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Недостатъчен е броят на услугите за дневна и почасова грижа и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 се възприема ролята на социалните услуги като дейности, насочени към социално включване и стимулиране за водене на независим начин на живот;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няма интегрирани здравно-социални услуги за деца и пълнолетни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Осигуряването на равен достъп до услуги на всички нуждаещи се чрез планиране на социални услуги, съгласно реалните потребности и нужди и равномерно разпределение на социалните услуги на територията на област Велико Търново са съществена част от политиките на областната и общинските администрации.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с трайни увреждания на територията на областта е близо 22 хиляди, от друга страна потребността от различни резидентни услуги за лица с трайни увреждания, предимно пълнолетни с психични разстрийства, интелектуални затруднения, физически увреждания, както и лица в надтрудоспособна възраст е доста висока. Предвид същото действията на общините следва да са насочени в посока увеличаване на броя на местата в съществуващите услуги или създаване на нови. Общините на територията на областта не предлагат действия, съответстващи на потребностите на населението в областта и в унисон с гореизложеното.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 територията на областта има голяма потребност от съществуващите интегрирани здравно-социални услуги, особено от ИЗСУ-РГВХНСППМГ. Планирано е създаването на нови такива, за да могат лицата, които имат необходимост от постоянни медицински грижи да получат нужната подкрепа за удовлетворяване на специфичните им потребности в съответните услуги, целящи именно това.</w:t>
      </w:r>
    </w:p>
    <w:p>
      <w:pPr>
        <w:keepNext w:val="true"/>
        <w:numPr>
          <w:ilvl w:val="0"/>
          <w:numId w:val="3065"/>
        </w:numPr>
        <w:tabs>
          <w:tab w:val="left" w:pos="718" w:leader="none"/>
        </w:tabs>
        <w:spacing w:before="360" w:after="120" w:line="240"/>
        <w:ind w:right="0" w:left="718" w:hanging="576"/>
        <w:jc w:val="both"/>
        <w:rPr>
          <w:rFonts w:ascii="Times New Roman" w:hAnsi="Times New Roman" w:cs="Times New Roman" w:eastAsia="Times New Roman"/>
          <w:b/>
          <w:color w:val="003366"/>
          <w:spacing w:val="0"/>
          <w:position w:val="0"/>
          <w:sz w:val="28"/>
          <w:shd w:fill="auto" w:val="clear"/>
        </w:rPr>
      </w:pPr>
      <w:r>
        <w:rPr>
          <w:rFonts w:ascii="Times New Roman" w:hAnsi="Times New Roman" w:cs="Times New Roman" w:eastAsia="Times New Roman"/>
          <w:b/>
          <w:color w:val="003366"/>
          <w:spacing w:val="0"/>
          <w:position w:val="0"/>
          <w:sz w:val="28"/>
          <w:shd w:fill="auto" w:val="clear"/>
        </w:rPr>
        <w:t xml:space="preserve">ОБЛАСТ ГАБРОВО </w:t>
      </w:r>
    </w:p>
    <w:p>
      <w:pPr>
        <w:keepNext w:val="true"/>
        <w:numPr>
          <w:ilvl w:val="0"/>
          <w:numId w:val="3065"/>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ГАБРОВО</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Габрово информацията за населението по настоящ адрес е получена от официални източници - Национален статически институт (НСИ),  информационна система ГРАО,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Габрово. </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Габрово, към 31.12.2021 г. е 54 608 жители, от тях 7 875 деца до 18-годишна възраст. Общият брой на лицата с трайни увреждания е 9 932, от тях деца 350.</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Габрово са разкрити 14 социални услуги, които се предоставят в гр. Габрово. Общият капацитет на социалните услуги е за 556 потребители, в т.ч. 264 асистентска подкрепа.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771"/>
        <w:gridCol w:w="1227"/>
        <w:gridCol w:w="1181"/>
        <w:gridCol w:w="989"/>
        <w:gridCol w:w="821"/>
        <w:gridCol w:w="1495"/>
        <w:gridCol w:w="1576"/>
      </w:tblGrid>
      <w:tr>
        <w:trPr>
          <w:trHeight w:val="1" w:hRule="atLeast"/>
          <w:jc w:val="left"/>
        </w:trPr>
        <w:tc>
          <w:tcPr>
            <w:tcW w:w="177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22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118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98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ДЦСХ</w:t>
            </w:r>
          </w:p>
        </w:tc>
        <w:tc>
          <w:tcPr>
            <w:tcW w:w="82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149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157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r>
      <w:tr>
        <w:trPr>
          <w:trHeight w:val="1" w:hRule="atLeast"/>
          <w:jc w:val="left"/>
        </w:trPr>
        <w:tc>
          <w:tcPr>
            <w:tcW w:w="17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2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1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4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17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2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60</w:t>
            </w:r>
          </w:p>
        </w:tc>
        <w:tc>
          <w:tcPr>
            <w:tcW w:w="11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9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8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75</w:t>
            </w:r>
          </w:p>
        </w:tc>
        <w:tc>
          <w:tcPr>
            <w:tcW w:w="14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c>
          <w:tcPr>
            <w:tcW w:w="1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28</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007"/>
        <w:gridCol w:w="2673"/>
        <w:gridCol w:w="794"/>
        <w:gridCol w:w="1288"/>
        <w:gridCol w:w="1508"/>
        <w:gridCol w:w="790"/>
      </w:tblGrid>
      <w:tr>
        <w:trPr>
          <w:trHeight w:val="1" w:hRule="atLeast"/>
          <w:jc w:val="left"/>
        </w:trPr>
        <w:tc>
          <w:tcPr>
            <w:tcW w:w="200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67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ЦНСТДМУППМГ</w:t>
            </w:r>
          </w:p>
        </w:tc>
        <w:tc>
          <w:tcPr>
            <w:tcW w:w="79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128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ЦСРИД</w:t>
            </w:r>
          </w:p>
        </w:tc>
        <w:tc>
          <w:tcPr>
            <w:tcW w:w="150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ЦСРИПЛ</w:t>
            </w:r>
          </w:p>
        </w:tc>
        <w:tc>
          <w:tcPr>
            <w:tcW w:w="79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ЗмБ</w:t>
            </w:r>
          </w:p>
        </w:tc>
      </w:tr>
      <w:tr>
        <w:trPr>
          <w:trHeight w:val="1" w:hRule="atLeast"/>
          <w:jc w:val="left"/>
        </w:trPr>
        <w:tc>
          <w:tcPr>
            <w:tcW w:w="20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6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7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7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0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6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7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264</w:t>
            </w:r>
          </w:p>
        </w:tc>
        <w:tc>
          <w:tcPr>
            <w:tcW w:w="12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5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c>
          <w:tcPr>
            <w:tcW w:w="7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Габрово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община Габрово няма лица, желаещи да ползват социалните услуги, делегирани от държавата дейности, които функционират на нейната територия.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Габрово, различна от общината по настоящ адрес</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tbl>
      <w:tblPr/>
      <w:tblGrid>
        <w:gridCol w:w="3831"/>
        <w:gridCol w:w="5229"/>
      </w:tblGrid>
      <w:tr>
        <w:trPr>
          <w:trHeight w:val="1" w:hRule="atLeast"/>
          <w:jc w:val="left"/>
        </w:trPr>
        <w:tc>
          <w:tcPr>
            <w:tcW w:w="383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522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ЦСРИДМ</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ДЦДУ</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ЦНСТДМУППМГ</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FFFF00"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Габрово за последните 5 години</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Графиката показва, намаление на общия брой на населението с тенденция към застаряване, ниска раждаемост, висока смъртност и отрицателен естествен прираст. </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Сравнението между естествения и механичния прираст на населението показва, че през последните няколко години община Габрово губи двойно повече население по естествени причини, т.е. поради влошена демографска структура, отколкото поради миграция.</w:t>
      </w:r>
      <w:r>
        <w:rPr>
          <w:rFonts w:ascii="Times New Roman" w:hAnsi="Times New Roman" w:cs="Times New Roman" w:eastAsia="Times New Roman"/>
          <w:color w:val="auto"/>
          <w:spacing w:val="0"/>
          <w:position w:val="0"/>
          <w:sz w:val="24"/>
          <w:shd w:fill="auto" w:val="clear"/>
        </w:rPr>
        <w:t xml:space="preserve"> </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съпоставка на данните за брой на назначени служители и брой незаети длъжности към момента на извършването на анализа по утвърдените щатни разписания във всяка услуга, както и въз основа на определените минимални изисквания в стандартите за качество на социалните услуги, касаещи броя и квалификацията на необходимите служители е установено, че има 13 бр. незаети длъжности - медицински сестри, логопед, социален работник, сътрудник социални дейности, детегледачи. За тези позиции периодично се публикуват обяви за работа.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момента на изготвяне на анализа, позициите са свободни и се търсят начини за тяхното обезпечаване, с оглед качественото предоставяне на съответната услуга.</w:t>
      </w:r>
    </w:p>
    <w:p>
      <w:pPr>
        <w:keepNext w:val="true"/>
        <w:numPr>
          <w:ilvl w:val="0"/>
          <w:numId w:val="3118"/>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ДРЯНОВО</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Дряново информацията за населението по настоящ адрес е получена от НСИ; общинска администрация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ГРАО; ДСП - Севлиево,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Габрово, данни на доставчици на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Дряново, към 31.12.2021 г. е 9154 жители, от тях 1346 деца до 18-годишна възраст. Общият брой на лицата с трайни увреждания е 1543, от тях деца 50.</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Дряново са разкрити 9 социални услуги, от тях 6 се предоставят в гр. Дряново, 2 в с. Царева ливада, и 1 в с. Гостилица. Общият капацитет на социалните услуги е 234 потребители, в т.ч. 47 асистентска подкрепа.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tbl>
      <w:tblPr/>
      <w:tblGrid>
        <w:gridCol w:w="1506"/>
        <w:gridCol w:w="1223"/>
        <w:gridCol w:w="1030"/>
        <w:gridCol w:w="1058"/>
        <w:gridCol w:w="1340"/>
        <w:gridCol w:w="769"/>
        <w:gridCol w:w="771"/>
        <w:gridCol w:w="1363"/>
      </w:tblGrid>
      <w:tr>
        <w:trPr>
          <w:trHeight w:val="1" w:hRule="atLeast"/>
          <w:jc w:val="left"/>
        </w:trPr>
        <w:tc>
          <w:tcPr>
            <w:tcW w:w="150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22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ДЦДПЛУ</w:t>
            </w:r>
          </w:p>
        </w:tc>
        <w:tc>
          <w:tcPr>
            <w:tcW w:w="103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ДЦСХ</w:t>
            </w:r>
          </w:p>
        </w:tc>
        <w:tc>
          <w:tcPr>
            <w:tcW w:w="105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134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ЗЖПЛФУ</w:t>
            </w:r>
          </w:p>
        </w:tc>
        <w:tc>
          <w:tcPr>
            <w:tcW w:w="76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77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136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ЦСРИПЛУ</w:t>
            </w:r>
          </w:p>
        </w:tc>
      </w:tr>
      <w:tr>
        <w:trPr>
          <w:trHeight w:val="1" w:hRule="atLeast"/>
          <w:jc w:val="left"/>
        </w:trPr>
        <w:tc>
          <w:tcPr>
            <w:tcW w:w="150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СУ</w:t>
            </w:r>
          </w:p>
        </w:tc>
        <w:tc>
          <w:tcPr>
            <w:tcW w:w="12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0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05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13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76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7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3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50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потребители</w:t>
            </w:r>
          </w:p>
        </w:tc>
        <w:tc>
          <w:tcPr>
            <w:tcW w:w="12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50</w:t>
            </w:r>
          </w:p>
        </w:tc>
        <w:tc>
          <w:tcPr>
            <w:tcW w:w="10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c>
          <w:tcPr>
            <w:tcW w:w="105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c>
          <w:tcPr>
            <w:tcW w:w="13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76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47</w:t>
            </w:r>
          </w:p>
        </w:tc>
        <w:tc>
          <w:tcPr>
            <w:tcW w:w="7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c>
          <w:tcPr>
            <w:tcW w:w="13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Дряново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Брой на желаещите да ползват социални услуги на територията на община Дряново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общо 3.</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 </w:t>
      </w: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Дряново, различна от  общината по настоящ адрес</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831"/>
        <w:gridCol w:w="5229"/>
      </w:tblGrid>
      <w:tr>
        <w:trPr>
          <w:trHeight w:val="1" w:hRule="atLeast"/>
          <w:jc w:val="left"/>
        </w:trPr>
        <w:tc>
          <w:tcPr>
            <w:tcW w:w="383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522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21</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ЗЖЛФУ</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Дряново за последните 5 години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представените данни, е видно, че населението в община Дряново за последните 5 години е намаляло, естественият прираст е отрицателен. Запазва се относителния дял на лицата под трудоспособна възраст. Намалява броя на лицата в нетрудоспособна възраст.</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Демографската картина за община Дряново, както и за цялата страна е неблагоприятна, населението застарява, както в резултат на естествените процеси на раждаемост и смъртност, така и в резултат на засилените миграционни процеси.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на територията на общината са обезпечени с необходимия персонал. Само една позеция в социална услуга на територията на общината е незаета.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 въвеждане на новите стандарти, регламентирани в Наредба за качеството на социалните услуги за броя персонал в социалните услуги, държавно делегирана дейност ще се подобри качеството на услугите в общината, както и ще са необходими нови кадри, с необходимото образование и квалификация.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момента услугите са обезпечени с персонал, но естествените процеси, застаряване на населението ще доведат до трудно намиране на подходящи лица за работа в социалната сфера.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Необходимо е повишаване на капацитета на общинските администрации да управляват процеса на контрактиране и управление на предоставянето на социални услуги в общините от областта.</w:t>
      </w:r>
    </w:p>
    <w:p>
      <w:pPr>
        <w:keepNext w:val="true"/>
        <w:numPr>
          <w:ilvl w:val="0"/>
          <w:numId w:val="3155"/>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ТРЯВНА</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Трявна информацията за населението по настоящ адрес е получена от информационна система ГРАО на общинска администрация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Трявна, НОИ, ДСП - Габрово,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 - Габрово, доставчиците на социалните услуги в общността на територията на общината.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Трявна, към 31.12.2021 г. е 11923 жители, от тях 1331 деца до 18-годишна възраст. Общият брой на лицата с трайни увреждания е 1469, от тях деца 40.</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Трявна са разкрити 6 социални услуги, които се предоставят в гр. Трявна. Общият капацитет на социалните услуги е за 180 потребители, в т.ч. 46 асистентска подкрепа.</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tbl>
      <w:tblPr/>
      <w:tblGrid>
        <w:gridCol w:w="1588"/>
        <w:gridCol w:w="1526"/>
        <w:gridCol w:w="1740"/>
        <w:gridCol w:w="919"/>
        <w:gridCol w:w="1763"/>
        <w:gridCol w:w="857"/>
        <w:gridCol w:w="667"/>
      </w:tblGrid>
      <w:tr>
        <w:trPr>
          <w:trHeight w:val="1" w:hRule="atLeast"/>
          <w:jc w:val="left"/>
        </w:trPr>
        <w:tc>
          <w:tcPr>
            <w:tcW w:w="158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rFonts w:ascii="Calibri" w:hAnsi="Calibri" w:cs="Calibri" w:eastAsia="Calibri"/>
                <w:color w:val="auto"/>
                <w:spacing w:val="0"/>
                <w:position w:val="0"/>
                <w:sz w:val="22"/>
                <w:shd w:fill="auto" w:val="clear"/>
              </w:rPr>
            </w:pPr>
          </w:p>
        </w:tc>
        <w:tc>
          <w:tcPr>
            <w:tcW w:w="152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174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ДЦПЛ-СГ</w:t>
            </w:r>
          </w:p>
        </w:tc>
        <w:tc>
          <w:tcPr>
            <w:tcW w:w="91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176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ЦСРИПЛУ</w:t>
            </w:r>
          </w:p>
        </w:tc>
        <w:tc>
          <w:tcPr>
            <w:tcW w:w="85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66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15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52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66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5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52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7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c>
          <w:tcPr>
            <w:tcW w:w="9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c>
          <w:tcPr>
            <w:tcW w:w="17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c>
          <w:tcPr>
            <w:tcW w:w="8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c>
          <w:tcPr>
            <w:tcW w:w="66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46</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Трявна</w:t>
      </w:r>
    </w:p>
    <w:p>
      <w:pPr>
        <w:spacing w:before="0" w:after="4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Брой на желаещите да ползват социални услуги на територията на община Трявна - няма.</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Трявна,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момента на изготвяне на анализа в Дома за стари хора Трявна 17 лица, ползващи социалните услуги, са от други общини: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831"/>
        <w:gridCol w:w="5229"/>
      </w:tblGrid>
      <w:tr>
        <w:trPr>
          <w:trHeight w:val="1" w:hRule="atLeast"/>
          <w:jc w:val="left"/>
        </w:trPr>
        <w:tc>
          <w:tcPr>
            <w:tcW w:w="383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522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Трявна за последните 5 години</w:t>
      </w:r>
    </w:p>
    <w:p>
      <w:pPr>
        <w:spacing w:before="0" w:after="4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от ТСБ - Габрово населението на община Трявна към 2021 г. наброява 9526. На територията на общината се наблюдава трайна тенденция към намаляване на населението, както в административния център гр. Трявна, така и в останалите населени места. Основен е делът на градското население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94%. </w:t>
      </w:r>
      <w:r>
        <w:rPr>
          <w:rFonts w:ascii="Times New Roman" w:hAnsi="Times New Roman" w:cs="Times New Roman" w:eastAsia="Times New Roman"/>
          <w:color w:val="auto"/>
          <w:spacing w:val="0"/>
          <w:position w:val="0"/>
          <w:sz w:val="24"/>
          <w:shd w:fill="auto" w:val="clear"/>
        </w:rPr>
        <w:t xml:space="preserve">В отдалечените населени места на кметствата в общината живеят малко на брой хора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възрастни, самотни и в повечето от случаите в невъзможност за самообслужване.</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4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резултат на установилите се през последните години неблагоприятни тенденции в развитието на демографските процеси, броят на населението продължава да намалява. </w:t>
      </w:r>
      <w:r>
        <w:rPr>
          <w:rFonts w:ascii="Times New Roman" w:hAnsi="Times New Roman" w:cs="Times New Roman" w:eastAsia="Times New Roman"/>
          <w:color w:val="000000"/>
          <w:spacing w:val="0"/>
          <w:position w:val="0"/>
          <w:sz w:val="24"/>
          <w:shd w:fill="auto" w:val="clear"/>
        </w:rPr>
        <w:t xml:space="preserve">Най-сериозните проблеми на общината са свързани с намаляващото и застаряващо население, ниската раждаемост,</w:t>
      </w:r>
      <w:r>
        <w:rPr>
          <w:rFonts w:ascii="Times New Roman" w:hAnsi="Times New Roman" w:cs="Times New Roman" w:eastAsia="Times New Roman"/>
          <w:color w:val="auto"/>
          <w:spacing w:val="0"/>
          <w:position w:val="0"/>
          <w:sz w:val="24"/>
          <w:shd w:fill="auto" w:val="clear"/>
        </w:rPr>
        <w:t xml:space="preserve"> намаляване на относителния дял на лицата в трудоспособна възраст, значителен брой на хората с увреждания, както и на самотно живеещите стари хора.</w:t>
      </w:r>
    </w:p>
    <w:p>
      <w:pPr>
        <w:spacing w:before="0" w:after="4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в община Трявна са обезпечени със специалисти и помощен персонал за предоставяне на качествени социални услуги, съобразно стандартите, залегнали в Наредбата за качество на социалните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Свободни са 3 длъжности, от които: 1 бр. за кинезитерапевт/рехабилитатор, 0,5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социален асистент, 1 бр.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педагог и 0,5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психолог.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Трявна полага усилия за привличане на необходимите здравни специалисти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медицински сестри и рехабилитатор/кинезитерапевт от други общини за работа в социалните услуги на територията на общината, като предлага възможности за почасова работа и извънтрудови правоотношения.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ДБТ - Габрово има </w:t>
      </w:r>
      <w:r>
        <w:rPr>
          <w:rFonts w:ascii="Times New Roman" w:hAnsi="Times New Roman" w:cs="Times New Roman" w:eastAsia="Times New Roman"/>
          <w:color w:val="000000"/>
          <w:spacing w:val="0"/>
          <w:position w:val="0"/>
          <w:sz w:val="24"/>
          <w:shd w:fill="auto" w:val="clear"/>
        </w:rPr>
        <w:t xml:space="preserve">регистрирани 12 безработни лица с висше образование търсещи работа, както следва: лице с медицинско образование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1 </w:t>
      </w:r>
      <w:r>
        <w:rPr>
          <w:rFonts w:ascii="Times New Roman" w:hAnsi="Times New Roman" w:cs="Times New Roman" w:eastAsia="Times New Roman"/>
          <w:color w:val="000000"/>
          <w:spacing w:val="0"/>
          <w:position w:val="0"/>
          <w:sz w:val="24"/>
          <w:shd w:fill="auto" w:val="clear"/>
        </w:rPr>
        <w:t xml:space="preserve">бр., </w:t>
      </w:r>
      <w:r>
        <w:rPr>
          <w:rFonts w:ascii="Times New Roman" w:hAnsi="Times New Roman" w:cs="Times New Roman" w:eastAsia="Times New Roman"/>
          <w:color w:val="auto"/>
          <w:spacing w:val="0"/>
          <w:position w:val="0"/>
          <w:sz w:val="24"/>
          <w:shd w:fill="auto" w:val="clear"/>
        </w:rPr>
        <w:t xml:space="preserve">педагогика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5 </w:t>
      </w:r>
      <w:r>
        <w:rPr>
          <w:rFonts w:ascii="Times New Roman" w:hAnsi="Times New Roman" w:cs="Times New Roman" w:eastAsia="Times New Roman"/>
          <w:color w:val="auto"/>
          <w:spacing w:val="0"/>
          <w:position w:val="0"/>
          <w:sz w:val="24"/>
          <w:shd w:fill="auto" w:val="clear"/>
        </w:rPr>
        <w:t xml:space="preserve">бр., социални дейности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 </w:t>
      </w:r>
      <w:r>
        <w:rPr>
          <w:rFonts w:ascii="Times New Roman" w:hAnsi="Times New Roman" w:cs="Times New Roman" w:eastAsia="Times New Roman"/>
          <w:color w:val="auto"/>
          <w:spacing w:val="0"/>
          <w:position w:val="0"/>
          <w:sz w:val="24"/>
          <w:shd w:fill="auto" w:val="clear"/>
        </w:rPr>
        <w:t xml:space="preserve">психология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социална педагогика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Хуманитарни науки“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Със средно образование регистрираните безработни лица са 6 със специалност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Здравни грижи“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5 </w:t>
      </w:r>
      <w:r>
        <w:rPr>
          <w:rFonts w:ascii="Times New Roman" w:hAnsi="Times New Roman" w:cs="Times New Roman" w:eastAsia="Times New Roman"/>
          <w:color w:val="auto"/>
          <w:spacing w:val="0"/>
          <w:position w:val="0"/>
          <w:sz w:val="24"/>
          <w:shd w:fill="auto" w:val="clear"/>
        </w:rPr>
        <w:t xml:space="preserve">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Социална работа и консултиране“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 оглед на оптималното функциониране на социалните услуги и в съответствие на определените минимални изисквания в стандартите за качество на социалните услуги е необходимо обезпечаване на следния персонал: рехабилитатор/ кинезитерапевт и медицинска сестра за дневните центрове.</w:t>
      </w:r>
    </w:p>
    <w:p>
      <w:pPr>
        <w:keepNext w:val="true"/>
        <w:numPr>
          <w:ilvl w:val="0"/>
          <w:numId w:val="3190"/>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СЕВЛИЕВО</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за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Севлиево източниците на данните в Анализа са от официалните такива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НСИ, ДСП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гр. Севлиево, Дирекция БТ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гр. Габрово.</w:t>
      </w:r>
      <w:r>
        <w:rPr>
          <w:rFonts w:ascii="Times New Roman" w:hAnsi="Times New Roman" w:cs="Times New Roman" w:eastAsia="Times New Roman"/>
          <w:color w:val="auto"/>
          <w:spacing w:val="0"/>
          <w:position w:val="0"/>
          <w:sz w:val="24"/>
          <w:shd w:fill="auto" w:val="clear"/>
        </w:rPr>
        <w:t xml:space="preserve"> </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Севлиево, към 31.12.2021 г. е </w:t>
      </w:r>
      <w:r>
        <w:rPr>
          <w:rFonts w:ascii="Times New Roman" w:hAnsi="Times New Roman" w:cs="Times New Roman" w:eastAsia="Times New Roman"/>
          <w:color w:val="000000"/>
          <w:spacing w:val="0"/>
          <w:position w:val="0"/>
          <w:sz w:val="24"/>
          <w:shd w:fill="auto" w:val="clear"/>
        </w:rPr>
        <w:t xml:space="preserve">29 676 </w:t>
      </w:r>
      <w:r>
        <w:rPr>
          <w:rFonts w:ascii="Times New Roman" w:hAnsi="Times New Roman" w:cs="Times New Roman" w:eastAsia="Times New Roman"/>
          <w:color w:val="auto"/>
          <w:spacing w:val="0"/>
          <w:position w:val="0"/>
          <w:sz w:val="24"/>
          <w:shd w:fill="auto" w:val="clear"/>
        </w:rPr>
        <w:t xml:space="preserve">жители, от тях </w:t>
      </w:r>
      <w:r>
        <w:rPr>
          <w:rFonts w:ascii="Times New Roman" w:hAnsi="Times New Roman" w:cs="Times New Roman" w:eastAsia="Times New Roman"/>
          <w:color w:val="000000"/>
          <w:spacing w:val="0"/>
          <w:position w:val="0"/>
          <w:sz w:val="24"/>
          <w:shd w:fill="auto" w:val="clear"/>
        </w:rPr>
        <w:t xml:space="preserve">4 828</w:t>
      </w:r>
      <w:r>
        <w:rPr>
          <w:rFonts w:ascii="Times New Roman" w:hAnsi="Times New Roman" w:cs="Times New Roman" w:eastAsia="Times New Roman"/>
          <w:color w:val="auto"/>
          <w:spacing w:val="0"/>
          <w:position w:val="0"/>
          <w:sz w:val="24"/>
          <w:shd w:fill="auto" w:val="clear"/>
        </w:rPr>
        <w:t xml:space="preserve"> деца до 18-годишна възраст. Общият брой на лицата с трайни увреждания е 5223, от тях деца 160.</w:t>
      </w:r>
    </w:p>
    <w:p>
      <w:pPr>
        <w:spacing w:before="0" w:after="6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Севлиево са разкрити 13 социални услуги, от тях 7 се предоставят в гр. Севлиево, 2 в с. Батошево, 2 в с. Столът, 1 в с. Добромирка и 1 в с. Стоките. Общият капацитет на социалните услуги е за 415 потребители, в т.ч. 146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793"/>
        <w:gridCol w:w="1831"/>
        <w:gridCol w:w="1886"/>
        <w:gridCol w:w="821"/>
        <w:gridCol w:w="1477"/>
        <w:gridCol w:w="1252"/>
      </w:tblGrid>
      <w:tr>
        <w:trPr>
          <w:trHeight w:val="1" w:hRule="atLeast"/>
          <w:jc w:val="left"/>
        </w:trPr>
        <w:tc>
          <w:tcPr>
            <w:tcW w:w="179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rFonts w:ascii="Calibri" w:hAnsi="Calibri" w:cs="Calibri" w:eastAsia="Calibri"/>
                <w:color w:val="auto"/>
                <w:spacing w:val="0"/>
                <w:position w:val="0"/>
                <w:sz w:val="22"/>
                <w:shd w:fill="auto" w:val="clear"/>
              </w:rPr>
            </w:pPr>
          </w:p>
        </w:tc>
        <w:tc>
          <w:tcPr>
            <w:tcW w:w="183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188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ЦНСТПЛФУ</w:t>
            </w:r>
          </w:p>
        </w:tc>
        <w:tc>
          <w:tcPr>
            <w:tcW w:w="82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147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ДЦДМСУ</w:t>
            </w:r>
          </w:p>
        </w:tc>
        <w:tc>
          <w:tcPr>
            <w:tcW w:w="125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r>
      <w:tr>
        <w:trPr>
          <w:trHeight w:val="1" w:hRule="atLeast"/>
          <w:jc w:val="left"/>
        </w:trPr>
        <w:tc>
          <w:tcPr>
            <w:tcW w:w="179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83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8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8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4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79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83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8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8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95</w:t>
            </w:r>
          </w:p>
        </w:tc>
        <w:tc>
          <w:tcPr>
            <w:tcW w:w="14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c>
          <w:tcPr>
            <w:tcW w:w="12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789"/>
        <w:gridCol w:w="1611"/>
        <w:gridCol w:w="1665"/>
        <w:gridCol w:w="1111"/>
        <w:gridCol w:w="933"/>
        <w:gridCol w:w="951"/>
      </w:tblGrid>
      <w:tr>
        <w:trPr>
          <w:trHeight w:val="1" w:hRule="atLeast"/>
          <w:jc w:val="left"/>
        </w:trPr>
        <w:tc>
          <w:tcPr>
            <w:tcW w:w="278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rFonts w:ascii="Calibri" w:hAnsi="Calibri" w:cs="Calibri" w:eastAsia="Calibri"/>
                <w:color w:val="auto"/>
                <w:spacing w:val="0"/>
                <w:position w:val="0"/>
                <w:sz w:val="22"/>
                <w:shd w:fill="auto" w:val="clear"/>
              </w:rPr>
            </w:pPr>
          </w:p>
        </w:tc>
        <w:tc>
          <w:tcPr>
            <w:tcW w:w="161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166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ЦНСТДМСУ</w:t>
            </w:r>
          </w:p>
        </w:tc>
        <w:tc>
          <w:tcPr>
            <w:tcW w:w="111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НЖ</w:t>
            </w:r>
          </w:p>
        </w:tc>
        <w:tc>
          <w:tcPr>
            <w:tcW w:w="93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95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278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6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6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78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6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c>
          <w:tcPr>
            <w:tcW w:w="16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11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9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c>
          <w:tcPr>
            <w:tcW w:w="9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146</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Севлиево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Севлиево е 35 лица. По данни на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 гр. Севлиево, за 2 ЦНСТПЛПР в списъка на чакащите само 7 лица са от община Севлиево.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58"/>
        <w:gridCol w:w="5902"/>
      </w:tblGrid>
      <w:tr>
        <w:trPr>
          <w:trHeight w:val="266" w:hRule="auto"/>
          <w:jc w:val="left"/>
        </w:trPr>
        <w:tc>
          <w:tcPr>
            <w:tcW w:w="315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266" w:hRule="auto"/>
          <w:jc w:val="left"/>
        </w:trPr>
        <w:tc>
          <w:tcPr>
            <w:tcW w:w="315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590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34</w:t>
            </w:r>
          </w:p>
        </w:tc>
      </w:tr>
      <w:tr>
        <w:trPr>
          <w:trHeight w:val="418" w:hRule="auto"/>
          <w:jc w:val="left"/>
        </w:trPr>
        <w:tc>
          <w:tcPr>
            <w:tcW w:w="315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ЦНСТПЛФУ</w:t>
            </w:r>
          </w:p>
        </w:tc>
        <w:tc>
          <w:tcPr>
            <w:tcW w:w="590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Севлиево,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Севлиево, от други общини е общо 50, както следва: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831"/>
        <w:gridCol w:w="5229"/>
      </w:tblGrid>
      <w:tr>
        <w:trPr>
          <w:trHeight w:val="1" w:hRule="atLeast"/>
          <w:jc w:val="left"/>
        </w:trPr>
        <w:tc>
          <w:tcPr>
            <w:tcW w:w="383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522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ЦНСТПЛФУ</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w:t>
            </w:r>
          </w:p>
        </w:tc>
      </w:tr>
    </w:tbl>
    <w:p>
      <w:pPr>
        <w:tabs>
          <w:tab w:val="left" w:pos="0" w:leader="none"/>
          <w:tab w:val="left" w:pos="709" w:leader="none"/>
          <w:tab w:val="left" w:pos="851"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Севлиево за последните 5 години</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 w:val="left" w:pos="851"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в община Севлиево по данни от текущата демографска статистика в края на 2021 г. е 30 957 души. Наблюдава се неблагоприятна тенденция на намаление на населението. Раждаемостта в община Севлиево е ниска, а равнището на смъртността е висока -</w:t>
      </w:r>
      <w:r>
        <w:rPr>
          <w:rFonts w:ascii="Times New Roman" w:hAnsi="Times New Roman" w:cs="Times New Roman" w:eastAsia="Times New Roman"/>
          <w:color w:val="000000"/>
          <w:spacing w:val="0"/>
          <w:position w:val="0"/>
          <w:sz w:val="24"/>
          <w:shd w:fill="auto" w:val="clear"/>
        </w:rPr>
        <w:t xml:space="preserve"> тези нива определят отрицателен естествен прираст на населението. В резултат на миграционните процеси в общината намалява населението и механичния прираст също е отрицателен.</w:t>
      </w:r>
    </w:p>
    <w:p>
      <w:pPr>
        <w:tabs>
          <w:tab w:val="left" w:pos="709" w:leader="none"/>
          <w:tab w:val="left" w:pos="851"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Намаляването на населението в община Севлиево, ниският процент на раждаемост и намаляване на населението в трудоспособна възраст оказва негативно влияние върху социално-икономическия статус на общината. Тези процеси влияят пряко върху предоставянето на социални услуги. От една страна, уязвимото население се увеличава, а от друга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обезпечеността с кадри, работещи в социалната сфера става все по-трудно. </w:t>
      </w:r>
    </w:p>
    <w:p>
      <w:pPr>
        <w:tabs>
          <w:tab w:val="left" w:pos="709" w:leader="none"/>
          <w:tab w:val="left" w:pos="851"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 w:val="left" w:pos="851"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tabs>
          <w:tab w:val="left" w:pos="709" w:leader="none"/>
          <w:tab w:val="left" w:pos="851"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социалните услуги, на територията на общината е нает необходимият персонал за осигуряване на грижа за потребителите на услугите.</w:t>
      </w:r>
    </w:p>
    <w:p>
      <w:pPr>
        <w:tabs>
          <w:tab w:val="left" w:pos="709" w:leader="none"/>
          <w:tab w:val="left" w:pos="851"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Незаетите длъжности са общо 24 бр., от които: 1 - рехабилитатор; 0,5 бр. - възпитател, 0,75 бр.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домакин; 0,5 бр. - хигиенист; 0,75 бр. - социален работник; 5 бр.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санитари; 1,5 бр. - медицинска сестра; 1 бр. - работник-кухня; 2 бр.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огняр; 1 бр.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шофьор и 10 бр. - Социален асистент в услугата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Асистентска подкрепа“.</w:t>
      </w:r>
    </w:p>
    <w:p>
      <w:pPr>
        <w:tabs>
          <w:tab w:val="left" w:pos="709" w:leader="none"/>
          <w:tab w:val="left" w:pos="851"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Услугите ще запазят съществуващите към момента специалисти като се търсят възможности незаетите позиции да бъдат заети. </w:t>
      </w:r>
      <w:r>
        <w:rPr>
          <w:rFonts w:ascii="Times New Roman" w:hAnsi="Times New Roman" w:cs="Times New Roman" w:eastAsia="Times New Roman"/>
          <w:color w:val="000000"/>
          <w:spacing w:val="0"/>
          <w:position w:val="0"/>
          <w:sz w:val="24"/>
          <w:shd w:fill="auto" w:val="clear"/>
        </w:rPr>
        <w:t xml:space="preserve">В социалните услуги на територията на общината има необходимост от:</w:t>
      </w:r>
      <w:r>
        <w:rPr>
          <w:rFonts w:ascii="Times New Roman" w:hAnsi="Times New Roman" w:cs="Times New Roman" w:eastAsia="Times New Roman"/>
          <w:color w:val="auto"/>
          <w:spacing w:val="0"/>
          <w:position w:val="0"/>
          <w:sz w:val="24"/>
          <w:shd w:fill="auto" w:val="clear"/>
        </w:rPr>
        <w:t xml:space="preserve"> юрист, арт терапевт, трудотерапевт,</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социален работник.</w:t>
      </w:r>
    </w:p>
    <w:p>
      <w:pPr>
        <w:tabs>
          <w:tab w:val="left" w:pos="709" w:leader="none"/>
          <w:tab w:val="left" w:pos="851"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БТ - гр. Габрово за община Севлиево няма регистрирани безработни с медицинско или хуманитарно образование. Регистрирани са 14 лица, които имат опит като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Личен асистент“ и 10 лица, които имат опит като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Социален асистент“.</w:t>
      </w:r>
    </w:p>
    <w:p>
      <w:pPr>
        <w:tabs>
          <w:tab w:val="left" w:pos="709" w:leader="none"/>
          <w:tab w:val="left" w:pos="851"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 област Габрово са регистрирани 2 медицински сестри, 63 лица с опит като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Личен асистент“ и 26 лица с опит като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Социален асистент“. </w:t>
      </w:r>
    </w:p>
    <w:p>
      <w:pPr>
        <w:keepNext w:val="true"/>
        <w:numPr>
          <w:ilvl w:val="0"/>
          <w:numId w:val="3252"/>
        </w:numPr>
        <w:tabs>
          <w:tab w:val="left" w:pos="718" w:leader="none"/>
        </w:tabs>
        <w:spacing w:before="360" w:after="120" w:line="240"/>
        <w:ind w:right="0" w:left="718"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АНАЛИЗ НА ПОТРЕБНОСТИТЕ В ОБЛАСТ ГАБРОВО (обобщено)</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обобщени за област Габрово по общини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общините от област Габрово информацията за населението по критериите съгласно Наредбата за планиране на социалните услуги е получена от Националния статистически институт, информационна система ГРАО на общините, ДСП, ДБТ, доставчици на социални услуги и др.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област Габрово, към 31.12.2021 г. е 105 361 жители, от тях 15 380 деца до 18-годишна възраст. Общия брой на лицата с трайни увреждания е 18 167, от тях деца 600.</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426"/>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426"/>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426"/>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426"/>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426"/>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426"/>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426"/>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426"/>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426"/>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426"/>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426"/>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426"/>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426"/>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областта: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брои на социалните услуги на територията на област Габрово е 42, с 1385 потребители. Броят на социалните услуги за пълнолетни лица е 26, с 1043 потребители. Социалните услуги за деца са 16 с 342 потребители.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за деца са 16 със 342 потребители.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графиките е видно, че на територията на областта преобладават консултативните услуги (ДЦ, ЦСРИ, ЦОП)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19 </w:t>
      </w:r>
      <w:r>
        <w:rPr>
          <w:rFonts w:ascii="Times New Roman" w:hAnsi="Times New Roman" w:cs="Times New Roman" w:eastAsia="Times New Roman"/>
          <w:color w:val="auto"/>
          <w:spacing w:val="0"/>
          <w:position w:val="0"/>
          <w:sz w:val="24"/>
          <w:shd w:fill="auto" w:val="clear"/>
        </w:rPr>
        <w:t xml:space="preserve">услуги за 578 потребители, резидентна грижа (ЦНСТ, ЗЖ, НЖ, З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МБ“) са общо 16 услуги за 169 потребители, услугите в домашна среда (АП)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4 </w:t>
      </w:r>
      <w:r>
        <w:rPr>
          <w:rFonts w:ascii="Times New Roman" w:hAnsi="Times New Roman" w:cs="Times New Roman" w:eastAsia="Times New Roman"/>
          <w:color w:val="auto"/>
          <w:spacing w:val="0"/>
          <w:position w:val="0"/>
          <w:sz w:val="24"/>
          <w:shd w:fill="auto" w:val="clear"/>
        </w:rPr>
        <w:t xml:space="preserve">бр. услуги за 503 потребители, услугите в специализирани институции (ДСХ) са 3 бр. услуги за 135 потребители.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област Габрово</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936"/>
        <w:gridCol w:w="5124"/>
      </w:tblGrid>
      <w:tr>
        <w:trPr>
          <w:trHeight w:val="433" w:hRule="auto"/>
          <w:jc w:val="left"/>
        </w:trPr>
        <w:tc>
          <w:tcPr>
            <w:tcW w:w="393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12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433" w:hRule="auto"/>
          <w:jc w:val="left"/>
        </w:trPr>
        <w:tc>
          <w:tcPr>
            <w:tcW w:w="39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512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433" w:hRule="auto"/>
          <w:jc w:val="left"/>
        </w:trPr>
        <w:tc>
          <w:tcPr>
            <w:tcW w:w="39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512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34</w:t>
            </w:r>
          </w:p>
        </w:tc>
      </w:tr>
      <w:tr>
        <w:trPr>
          <w:trHeight w:val="433" w:hRule="auto"/>
          <w:jc w:val="left"/>
        </w:trPr>
        <w:tc>
          <w:tcPr>
            <w:tcW w:w="39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ЦНСТПЛФУ</w:t>
            </w:r>
          </w:p>
        </w:tc>
        <w:tc>
          <w:tcPr>
            <w:tcW w:w="512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Общо 38 лица са включени в списъците на чакащите за ползване на социални услуги в териториалния обхват на област Габрово. Най-голям е броят на лицата, желаещи да ползват социалната услуга за резидентна грижа ЦНСТПЛПР.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област Габрово, различна от  общината по настоящ адрес</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635"/>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635"/>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635"/>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и интегрирани здравно-социални услуги на територията на област Габрово, различна от общината по настоящ адрес е 136. Най-голям е техният брой в социалните услуги на територията на общините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Севлиево и Габрово. Впечатление прави, че потребителите на услугите в по-голямата част са от общини извън територията на областта.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графиката е представено сравнение между функциониращите към момента социални услуги, финансирани от държавния бюджет, съотнесени към социалните услуги по чл. 15 от ЗСУ, максималния брой потребители, съгласно критериите по Наредбата за планиране на социалните услуги и поетите ангажименти от общините в областта.</w:t>
      </w:r>
    </w:p>
    <w:p>
      <w:pPr>
        <w:spacing w:before="0" w:after="6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област Габрово за последните 5 години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Анализа на данните на демографското развитие в област Габрово за периода 2021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2017 </w:t>
      </w:r>
      <w:r>
        <w:rPr>
          <w:rFonts w:ascii="Times New Roman" w:hAnsi="Times New Roman" w:cs="Times New Roman" w:eastAsia="Times New Roman"/>
          <w:color w:val="auto"/>
          <w:spacing w:val="0"/>
          <w:position w:val="0"/>
          <w:sz w:val="24"/>
          <w:shd w:fill="auto" w:val="clear"/>
        </w:rPr>
        <w:t xml:space="preserve">г. показва тенденция към намаление на общия брой на населението във всички общини</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с тенденция към застаряване, ниска раждаемост, висока смъртност и отрицателен естествен прираст, както и в резултат на засилените миграционни процеси.</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Прогресивно намаляване на относителния дял на лицата в трудоспособна възраст. Устойчива е тенденция към емиграция и обезлюдяване. Висок е броя на хората с увреждания, както и на самотно живещите стари хора от селата в общината, с невъзможност за самообслужване.</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на територията на област Габрово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По-голяма част от социалните услуги в областта са обезпечени със служители, необходими за предоставянето им, но има и значителен брой незаети длъжности: психолог, медицинска сестра, логопед, кинезитерапевт/рехабилитатор, асистент и санитар. </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Общините са използвали различни възможности за наемане на необходимите служители за извършване на дейностите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специалисти се търсят както в ДБТ, така и на свободния пазар. На база на предоставената от общините информация за заетостта на служителите в социалните услуги, се очертава тенденция за </w:t>
      </w:r>
      <w:r>
        <w:rPr>
          <w:rFonts w:ascii="Times New Roman" w:hAnsi="Times New Roman" w:cs="Times New Roman" w:eastAsia="Times New Roman"/>
          <w:color w:val="000000"/>
          <w:spacing w:val="0"/>
          <w:position w:val="0"/>
          <w:sz w:val="24"/>
          <w:shd w:fill="auto" w:val="clear"/>
        </w:rPr>
        <w:t xml:space="preserve">недостиг основно на медицински специалисти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медицински сестри, кинезитерапевт, психолог.</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Видно е, че общините, като доставчици на социалните услуги, подкрепят служителите чрез провеждане на поддържащи обучения, супервизии и работни срещи, насочени към повишаване на професионалните умения и подобряване качеството на грижа спрямо потребителите.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Една от предпоставките за ефективност на социалните услуги е наличието на квалифициран и мотивиран персонал. Развитието и обучението на човешките ресурси в тази област е важна предпоставка за качествени услуги, които да съдействат за повишаване и качеството на живот на отделните индивиди, семейства и групи.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Габрово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са ключов фактор за ефективно социално включване и участие в живота на обществото на всички групи лица, които имат необходимост от подкрепа. Във основа на направения анализ на състоянието на социалните услуги на територията на областта и очерталите се тенденции, могат да се направят следните изводи: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Броят на консултативните социални услуги за децата и лицата с увреждания е по-голям в сравнение с услуги за резидентна грижа за деца и пълнолетните лица с увреждания. Независимо от големия брой социални услуги за резидентна грижа за пълнолетни лица с увреждания, той е недостатъчен за задоволяване на потребностите на жителите на областта, тъй като в по-голяма част се ползват от потребители от цялата страна.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подписаното Споразумение за сътрудничество между кметовете на общините в областта, с цел планиране на социални и интегрирани здравно-социални услуги на областно ниво, са заявили готовност за сътрудничество на областно ниво, за възможностите за предоставяне и ползване на социални услуги от съответните общини. Същите следва да сключат споразумение, съгл. чл. 56 от ЗСУ с другите общини</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 областта. Предвид изведените потребности са направени предложения за създаване на нови социални услуги и интегрирани здравно-социални услуги за деца и пълнолетни лица с увреждания.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 територията на община Габрово се предоставя една интегрирана здравно-социална услуга за резидентна грижа за деца и младежи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Център за настаняване от семеен тип за деца/младежи с увреждания с потребност от постоянни медицински грижи“, с капацитет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8 </w:t>
      </w:r>
      <w:r>
        <w:rPr>
          <w:rFonts w:ascii="Times New Roman" w:hAnsi="Times New Roman" w:cs="Times New Roman" w:eastAsia="Times New Roman"/>
          <w:color w:val="000000"/>
          <w:spacing w:val="0"/>
          <w:position w:val="0"/>
          <w:sz w:val="24"/>
          <w:shd w:fill="auto" w:val="clear"/>
        </w:rPr>
        <w:t xml:space="preserve">места, която работи с пълен капацитет и се ползва от потребители от цялата страна.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Броят на желаещите за ползване на социалната услуга за резидентна грижа за пълнолетни лица с психични разстройства е най-голям в сравнение с броя на желаещите за ползване на другите услуги, съответно е необходимо да се създадат нови услуги за резидентна грижа за горепосочената целева група.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Осигуряването на равен достъп до услуги на всички нуждаещи се чрез планиране на социални услуги, съгласно реалните потребности и нужди и равномерното разпределение на социалните услуги на територията на област Габрово са съществена част от политиките на областната и общинските администрации. </w:t>
      </w:r>
    </w:p>
    <w:p>
      <w:pPr>
        <w:keepNext w:val="true"/>
        <w:numPr>
          <w:ilvl w:val="0"/>
          <w:numId w:val="3284"/>
        </w:numPr>
        <w:tabs>
          <w:tab w:val="left" w:pos="718" w:leader="none"/>
        </w:tabs>
        <w:spacing w:before="360" w:after="120" w:line="240"/>
        <w:ind w:right="0" w:left="718" w:hanging="576"/>
        <w:jc w:val="both"/>
        <w:rPr>
          <w:rFonts w:ascii="Times New Roman" w:hAnsi="Times New Roman" w:cs="Times New Roman" w:eastAsia="Times New Roman"/>
          <w:b/>
          <w:color w:val="003366"/>
          <w:spacing w:val="0"/>
          <w:position w:val="0"/>
          <w:sz w:val="28"/>
          <w:shd w:fill="auto" w:val="clear"/>
        </w:rPr>
      </w:pPr>
      <w:r>
        <w:rPr>
          <w:rFonts w:ascii="Times New Roman" w:hAnsi="Times New Roman" w:cs="Times New Roman" w:eastAsia="Times New Roman"/>
          <w:b/>
          <w:color w:val="003366"/>
          <w:spacing w:val="0"/>
          <w:position w:val="0"/>
          <w:sz w:val="28"/>
          <w:shd w:fill="auto" w:val="clear"/>
        </w:rPr>
        <w:t xml:space="preserve">ОБЛАСТ РАЗГРАД</w:t>
      </w:r>
    </w:p>
    <w:p>
      <w:pPr>
        <w:keepNext w:val="true"/>
        <w:numPr>
          <w:ilvl w:val="0"/>
          <w:numId w:val="3284"/>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ЗАВЕТ</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 данни на община Завет информацията, които Община Завет е използвала за анализа е от: Националният статистически институт; ДСП гр. Кубрат и гр. Завет; данни за брой лица, които са регистрирани в ИИС на АСП; План за интегрирано развитие на Община Завет 2021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2027 </w:t>
      </w:r>
      <w:r>
        <w:rPr>
          <w:rFonts w:ascii="Times New Roman" w:hAnsi="Times New Roman" w:cs="Times New Roman" w:eastAsia="Times New Roman"/>
          <w:color w:val="000000"/>
          <w:spacing w:val="0"/>
          <w:position w:val="0"/>
          <w:sz w:val="24"/>
          <w:shd w:fill="auto" w:val="clear"/>
        </w:rPr>
        <w:t xml:space="preserve">г; данни от Гражданска регистрация и административно обслужване (ГРАО); данни от ДБТ; собствени източници.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Общият брой на населението на община Завет към 31.12.2021 г. е 8726 жители, от тях 1240 деца до 18-годишна възраст. Общият брой на лицата с трайни увреждания е 1061, от тях деца 26.</w:t>
      </w:r>
    </w:p>
    <w:p>
      <w:pPr>
        <w:spacing w:before="0" w:after="60" w:line="240"/>
        <w:ind w:right="0" w:left="0" w:firstLine="709"/>
        <w:jc w:val="both"/>
        <w:rPr>
          <w:rFonts w:ascii="Times New Roman" w:hAnsi="Times New Roman" w:cs="Times New Roman" w:eastAsia="Times New Roman"/>
          <w:color w:val="000000"/>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 територията на община Завет съществува 1 социална услуга -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Асистентска подкрепа“ (АП) с 26 потребители.</w:t>
      </w:r>
    </w:p>
    <w:tbl>
      <w:tblPr/>
      <w:tblGrid>
        <w:gridCol w:w="2571"/>
        <w:gridCol w:w="6489"/>
      </w:tblGrid>
      <w:tr>
        <w:trPr>
          <w:trHeight w:val="260" w:hRule="auto"/>
          <w:jc w:val="left"/>
        </w:trPr>
        <w:tc>
          <w:tcPr>
            <w:tcW w:w="257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709"/>
              <w:jc w:val="both"/>
              <w:rPr>
                <w:rFonts w:ascii="Calibri" w:hAnsi="Calibri" w:cs="Calibri" w:eastAsia="Calibri"/>
                <w:color w:val="auto"/>
                <w:spacing w:val="0"/>
                <w:position w:val="0"/>
                <w:sz w:val="22"/>
                <w:shd w:fill="auto" w:val="clear"/>
              </w:rPr>
            </w:pPr>
          </w:p>
        </w:tc>
        <w:tc>
          <w:tcPr>
            <w:tcW w:w="648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АП</w:t>
            </w:r>
          </w:p>
        </w:tc>
      </w:tr>
      <w:tr>
        <w:trPr>
          <w:trHeight w:val="1" w:hRule="atLeast"/>
          <w:jc w:val="left"/>
        </w:trPr>
        <w:tc>
          <w:tcPr>
            <w:tcW w:w="257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СУ</w:t>
            </w:r>
          </w:p>
        </w:tc>
        <w:tc>
          <w:tcPr>
            <w:tcW w:w="648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r>
      <w:tr>
        <w:trPr>
          <w:trHeight w:val="1" w:hRule="atLeast"/>
          <w:jc w:val="left"/>
        </w:trPr>
        <w:tc>
          <w:tcPr>
            <w:tcW w:w="257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потребители</w:t>
            </w:r>
          </w:p>
        </w:tc>
        <w:tc>
          <w:tcPr>
            <w:tcW w:w="648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26</w:t>
            </w:r>
          </w:p>
        </w:tc>
      </w:tr>
    </w:tbl>
    <w:p>
      <w:pPr>
        <w:spacing w:before="0" w:after="60" w:line="240"/>
        <w:ind w:right="0" w:left="0" w:firstLine="709"/>
        <w:jc w:val="both"/>
        <w:rPr>
          <w:rFonts w:ascii="Times New Roman" w:hAnsi="Times New Roman" w:cs="Times New Roman" w:eastAsia="Times New Roman"/>
          <w:color w:val="000000"/>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Завет</w:t>
      </w: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Общият брой на желаещите да ползват социални услуги на територията на община Завет е 10 лица. По услуги:</w:t>
      </w: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АП </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Завет, различна от  общината по настоящ адрес</w:t>
      </w: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 територията на Община Завет се предоставя социалната услуга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Асистентска подкрепа“, която се предоставят по настоящ адрес. По тази причина няма потребители от други общини. </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Завет за последните 5 години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Продължава процесът на застаряване на населението в общината, който е характерен за другите райони в страната.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 сравнение с края на 2017 г. населението на общината намалява с 800 души. Намалението на населението е един от основните лимитиращи фактори за бъдещото развитие на всяка общината, които негативно се отразят най-вече върху работната сила и възпроизводствения потенциал на територията.</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709"/>
        <w:jc w:val="both"/>
        <w:rPr>
          <w:rFonts w:ascii="Times New Roman" w:hAnsi="Times New Roman" w:cs="Times New Roman" w:eastAsia="Times New Roman"/>
          <w:color w:val="000000"/>
          <w:spacing w:val="0"/>
          <w:position w:val="0"/>
          <w:sz w:val="24"/>
          <w:shd w:fill="auto" w:val="clear"/>
        </w:rPr>
      </w:pPr>
    </w:p>
    <w:p>
      <w:pPr>
        <w:spacing w:before="0" w:after="60" w:line="240"/>
        <w:ind w:right="0" w:left="0" w:firstLine="709"/>
        <w:jc w:val="both"/>
        <w:rPr>
          <w:rFonts w:ascii="Times New Roman" w:hAnsi="Times New Roman" w:cs="Times New Roman" w:eastAsia="Times New Roman"/>
          <w:color w:val="000000"/>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4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Завет функционира една социална услуга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Асистентска подкрепа“ делегирана от държавата, която се предоставят в домашна среда. Социалната услуга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Асистентска подкрепа“ се администрира от един служител. </w:t>
      </w:r>
    </w:p>
    <w:p>
      <w:pPr>
        <w:keepNext w:val="true"/>
        <w:numPr>
          <w:ilvl w:val="0"/>
          <w:numId w:val="3314"/>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ИСПЕРИХ</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Информацията за населението по настоящ адрес е получена от НСИ и информационна система ГРАО, данни от НСИ и ГРАО при Община Исперих към 31.12.2021 г., данни от ДСП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Исперих към 31.12.2022 г.; анализи, планове, програми, доклади и стратегически документи на Община Исперих; статистически бази-данни, събирани и актуализирани от: ДСП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Исперих, ДБТ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Исперих, Дирекция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Хуманитарни дейности“ при Община Исперих, ТП на НСИ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Разград; данни, документация и експертиза на доставчици на услуги за действащите социални услуги в общината; данни и информация от кметове на кметства и кметски наместници. Информацията за деца и лица с увреждания, предоставена от ДСП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Исперих включва само онези деца и лица, които са обект на подпомагане от ДСП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Исперих.</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Общият брой на населението на община Исперих към 31.12.2021 г. е 19 828 жители, от тях 3 831 деца до 18-годишна възраст. Общият брой на лицата с трайни увреждания е 2 117, от тях деца 51.</w:t>
      </w: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 територията на община Исперих са разкрити 9 социални услуги, които се предоставят на територията на общината. Общият капацитет на социалните услуги е за 228 потребители, в т.ч. асистентска подкрепа.</w:t>
      </w:r>
    </w:p>
    <w:p>
      <w:pPr>
        <w:spacing w:before="0" w:after="60" w:line="240"/>
        <w:ind w:right="0" w:left="0" w:firstLine="709"/>
        <w:jc w:val="both"/>
        <w:rPr>
          <w:rFonts w:ascii="Times New Roman" w:hAnsi="Times New Roman" w:cs="Times New Roman" w:eastAsia="Times New Roman"/>
          <w:color w:val="000000"/>
          <w:spacing w:val="0"/>
          <w:position w:val="0"/>
          <w:sz w:val="24"/>
          <w:shd w:fill="auto" w:val="clear"/>
        </w:rPr>
      </w:pPr>
    </w:p>
    <w:tbl>
      <w:tblPr/>
      <w:tblGrid>
        <w:gridCol w:w="1921"/>
        <w:gridCol w:w="1721"/>
        <w:gridCol w:w="1805"/>
        <w:gridCol w:w="1120"/>
        <w:gridCol w:w="1120"/>
        <w:gridCol w:w="1373"/>
      </w:tblGrid>
      <w:tr>
        <w:trPr>
          <w:trHeight w:val="1" w:hRule="atLeast"/>
          <w:jc w:val="left"/>
        </w:trPr>
        <w:tc>
          <w:tcPr>
            <w:tcW w:w="192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709"/>
              <w:jc w:val="both"/>
              <w:rPr>
                <w:rFonts w:ascii="Calibri" w:hAnsi="Calibri" w:cs="Calibri" w:eastAsia="Calibri"/>
                <w:color w:val="auto"/>
                <w:spacing w:val="0"/>
                <w:position w:val="0"/>
                <w:sz w:val="22"/>
                <w:shd w:fill="auto" w:val="clear"/>
              </w:rPr>
            </w:pPr>
          </w:p>
        </w:tc>
        <w:tc>
          <w:tcPr>
            <w:tcW w:w="172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ЦНСТДБУ</w:t>
            </w:r>
          </w:p>
        </w:tc>
        <w:tc>
          <w:tcPr>
            <w:tcW w:w="180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ЦНСТДМУ</w:t>
            </w:r>
          </w:p>
        </w:tc>
        <w:tc>
          <w:tcPr>
            <w:tcW w:w="112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ПЖД</w:t>
            </w:r>
          </w:p>
        </w:tc>
        <w:tc>
          <w:tcPr>
            <w:tcW w:w="112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ЦОП</w:t>
            </w:r>
          </w:p>
        </w:tc>
        <w:tc>
          <w:tcPr>
            <w:tcW w:w="137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ДЦДМУ</w:t>
            </w:r>
          </w:p>
        </w:tc>
      </w:tr>
      <w:tr>
        <w:trPr>
          <w:trHeight w:val="1" w:hRule="atLeast"/>
          <w:jc w:val="left"/>
        </w:trPr>
        <w:tc>
          <w:tcPr>
            <w:tcW w:w="19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СУ</w:t>
            </w:r>
          </w:p>
        </w:tc>
        <w:tc>
          <w:tcPr>
            <w:tcW w:w="17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w:t>
            </w:r>
          </w:p>
        </w:tc>
        <w:tc>
          <w:tcPr>
            <w:tcW w:w="18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1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1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r>
      <w:tr>
        <w:trPr>
          <w:trHeight w:val="1" w:hRule="atLeast"/>
          <w:jc w:val="left"/>
        </w:trPr>
        <w:tc>
          <w:tcPr>
            <w:tcW w:w="19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потребители</w:t>
            </w:r>
          </w:p>
        </w:tc>
        <w:tc>
          <w:tcPr>
            <w:tcW w:w="17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30</w:t>
            </w:r>
          </w:p>
        </w:tc>
        <w:tc>
          <w:tcPr>
            <w:tcW w:w="18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14</w:t>
            </w:r>
          </w:p>
        </w:tc>
        <w:tc>
          <w:tcPr>
            <w:tcW w:w="11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w:t>
            </w:r>
          </w:p>
        </w:tc>
        <w:tc>
          <w:tcPr>
            <w:tcW w:w="11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40</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30</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tbl>
      <w:tblPr/>
      <w:tblGrid>
        <w:gridCol w:w="3160"/>
        <w:gridCol w:w="1774"/>
        <w:gridCol w:w="1147"/>
        <w:gridCol w:w="2979"/>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709"/>
              <w:jc w:val="left"/>
              <w:rPr>
                <w:rFonts w:ascii="Calibri" w:hAnsi="Calibri" w:cs="Calibri" w:eastAsia="Calibri"/>
                <w:color w:val="auto"/>
                <w:spacing w:val="0"/>
                <w:position w:val="0"/>
                <w:sz w:val="22"/>
                <w:shd w:fill="auto" w:val="clear"/>
              </w:rPr>
            </w:pPr>
          </w:p>
        </w:tc>
        <w:tc>
          <w:tcPr>
            <w:tcW w:w="177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ЦРДУ</w:t>
            </w:r>
          </w:p>
        </w:tc>
        <w:tc>
          <w:tcPr>
            <w:tcW w:w="114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АП</w:t>
            </w:r>
          </w:p>
        </w:tc>
        <w:tc>
          <w:tcPr>
            <w:tcW w:w="297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ДЦПЛТМУ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СУ</w:t>
            </w:r>
          </w:p>
        </w:tc>
        <w:tc>
          <w:tcPr>
            <w:tcW w:w="17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14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29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709"/>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потребители</w:t>
            </w:r>
          </w:p>
        </w:tc>
        <w:tc>
          <w:tcPr>
            <w:tcW w:w="17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w:t>
            </w:r>
          </w:p>
        </w:tc>
        <w:tc>
          <w:tcPr>
            <w:tcW w:w="114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56</w:t>
            </w:r>
          </w:p>
        </w:tc>
        <w:tc>
          <w:tcPr>
            <w:tcW w:w="29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709"/>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30</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Исперих</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Общият брой на желаещите да ползват социални услуги на територията на община Исперих е 21 лица.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АП </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21</w:t>
            </w:r>
          </w:p>
        </w:tc>
      </w:tr>
    </w:tbl>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Исперих, различна от  общината по настоящ адрес</w:t>
      </w: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 територията на Община Исперих 8 потребители от други общини ползват социални услуги и интегрирани здравно-социални услуги.</w:t>
      </w: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96" w:type="dxa"/>
              <w:right w:w="96"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Вид СУ</w:t>
            </w:r>
          </w:p>
        </w:tc>
        <w:tc>
          <w:tcPr>
            <w:tcW w:w="4514" w:type="dxa"/>
            <w:tcBorders>
              <w:top w:val="single" w:color="000000" w:sz="4"/>
              <w:left w:val="single" w:color="000000" w:sz="4"/>
              <w:bottom w:val="single" w:color="000000" w:sz="4"/>
              <w:right w:val="single" w:color="000000" w:sz="4"/>
            </w:tcBorders>
            <w:shd w:color="auto" w:fill="5b9bd5" w:val="clear"/>
            <w:tcMar>
              <w:left w:w="96" w:type="dxa"/>
              <w:right w:w="96"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96" w:type="dxa"/>
              <w:right w:w="96"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ЦНСТДМБУ</w:t>
            </w:r>
          </w:p>
        </w:tc>
        <w:tc>
          <w:tcPr>
            <w:tcW w:w="4514" w:type="dxa"/>
            <w:tcBorders>
              <w:top w:val="single" w:color="000000" w:sz="4"/>
              <w:left w:val="single" w:color="000000" w:sz="4"/>
              <w:bottom w:val="single" w:color="000000" w:sz="4"/>
              <w:right w:val="single" w:color="000000" w:sz="4"/>
            </w:tcBorders>
            <w:shd w:color="000000" w:fill="ffffff" w:val="clear"/>
            <w:tcMar>
              <w:left w:w="96" w:type="dxa"/>
              <w:right w:w="96"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96" w:type="dxa"/>
              <w:right w:w="96"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ПЖ</w:t>
            </w:r>
          </w:p>
        </w:tc>
        <w:tc>
          <w:tcPr>
            <w:tcW w:w="4514" w:type="dxa"/>
            <w:tcBorders>
              <w:top w:val="single" w:color="000000" w:sz="4"/>
              <w:left w:val="single" w:color="000000" w:sz="4"/>
              <w:bottom w:val="single" w:color="000000" w:sz="4"/>
              <w:right w:val="single" w:color="000000" w:sz="4"/>
            </w:tcBorders>
            <w:shd w:color="000000" w:fill="ffffff" w:val="clear"/>
            <w:tcMar>
              <w:left w:w="96" w:type="dxa"/>
              <w:right w:w="96"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96" w:type="dxa"/>
              <w:right w:w="96"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ДЦДМУ</w:t>
            </w:r>
          </w:p>
        </w:tc>
        <w:tc>
          <w:tcPr>
            <w:tcW w:w="4514" w:type="dxa"/>
            <w:tcBorders>
              <w:top w:val="single" w:color="000000" w:sz="4"/>
              <w:left w:val="single" w:color="000000" w:sz="4"/>
              <w:bottom w:val="single" w:color="000000" w:sz="4"/>
              <w:right w:val="single" w:color="000000" w:sz="4"/>
            </w:tcBorders>
            <w:shd w:color="000000" w:fill="ffffff" w:val="clear"/>
            <w:tcMar>
              <w:left w:w="96" w:type="dxa"/>
              <w:right w:w="96"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Исперих за последните 5 години</w:t>
      </w: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От анализа на резултатите за населението и демографските процеси в община Исперих през последните пет години се вижда, че са налице доста неблагоприятни факти.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Раждаемостта е ниска, а смъртността е висока. Притеснителен е и фактът на трайното намаляване на броя на лицата в подтрудоспособна възраст. Налице е устойчив процес на застаряване. Населението в общината бележи трайна тенденция към намаляване.</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 резултат на краткия анализ на демографската структура на населението на общината може да се изведе необходимостта от разширяване спектъра на предоставяните социални услуги за възрастни хора и хора с увреждания.</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Действащите социални услуги са обезпечени с необходимия персонал. Свободни са 4 места за трудотерапевт и мед. специалисти. </w:t>
      </w:r>
    </w:p>
    <w:p>
      <w:pPr>
        <w:keepNext w:val="true"/>
        <w:numPr>
          <w:ilvl w:val="0"/>
          <w:numId w:val="3366"/>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КУБРАТ</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за общината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 данни на община Кубрат информацията за населението по настоящ адрес е получена от информационна система ГРАО, Дирекция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Социално подпомагане“, НСИ.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Общият брой на населението на община Кубрат към 31.12.2021 г. е 15 015 жители, от тях 2218 деца до 18-годишна възраст. Общият брой на лицата с трайни увреждания е 1915, от тях деца 48.</w:t>
      </w:r>
    </w:p>
    <w:p>
      <w:pPr>
        <w:spacing w:before="0" w:after="60" w:line="240"/>
        <w:ind w:right="0" w:left="0" w:firstLine="709"/>
        <w:jc w:val="both"/>
        <w:rPr>
          <w:rFonts w:ascii="Times New Roman" w:hAnsi="Times New Roman" w:cs="Times New Roman" w:eastAsia="Times New Roman"/>
          <w:color w:val="000000"/>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 територията на община Кубрат са разкрити 4 социални услуги, от тях 3 се предоставят в гр. Кубрат, а 1 в с. Тертер. Общият капацитет на социалните услуги е за 176 потребители, в т.ч. 56 асистентска подкрепа.</w:t>
      </w:r>
    </w:p>
    <w:p>
      <w:pPr>
        <w:spacing w:before="0" w:after="60" w:line="240"/>
        <w:ind w:right="0" w:left="0" w:firstLine="709"/>
        <w:jc w:val="both"/>
        <w:rPr>
          <w:rFonts w:ascii="Times New Roman" w:hAnsi="Times New Roman" w:cs="Times New Roman" w:eastAsia="Times New Roman"/>
          <w:color w:val="000000"/>
          <w:spacing w:val="0"/>
          <w:position w:val="0"/>
          <w:sz w:val="24"/>
          <w:shd w:fill="auto" w:val="clear"/>
        </w:rPr>
      </w:pPr>
    </w:p>
    <w:tbl>
      <w:tblPr/>
      <w:tblGrid>
        <w:gridCol w:w="2032"/>
        <w:gridCol w:w="2087"/>
        <w:gridCol w:w="1649"/>
        <w:gridCol w:w="1649"/>
        <w:gridCol w:w="1643"/>
      </w:tblGrid>
      <w:tr>
        <w:trPr>
          <w:trHeight w:val="1" w:hRule="atLeast"/>
          <w:jc w:val="left"/>
        </w:trPr>
        <w:tc>
          <w:tcPr>
            <w:tcW w:w="203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709"/>
              <w:jc w:val="both"/>
              <w:rPr>
                <w:rFonts w:ascii="Calibri" w:hAnsi="Calibri" w:cs="Calibri" w:eastAsia="Calibri"/>
                <w:color w:val="auto"/>
                <w:spacing w:val="0"/>
                <w:position w:val="0"/>
                <w:sz w:val="22"/>
                <w:shd w:fill="auto" w:val="clear"/>
              </w:rPr>
            </w:pPr>
          </w:p>
        </w:tc>
        <w:tc>
          <w:tcPr>
            <w:tcW w:w="208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ДЦПЛУ</w:t>
            </w:r>
          </w:p>
        </w:tc>
        <w:tc>
          <w:tcPr>
            <w:tcW w:w="164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ЦОП</w:t>
            </w:r>
          </w:p>
        </w:tc>
        <w:tc>
          <w:tcPr>
            <w:tcW w:w="164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ДСХ</w:t>
            </w:r>
          </w:p>
        </w:tc>
        <w:tc>
          <w:tcPr>
            <w:tcW w:w="164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АП</w:t>
            </w:r>
          </w:p>
        </w:tc>
      </w:tr>
      <w:tr>
        <w:trPr>
          <w:trHeight w:val="1" w:hRule="atLeast"/>
          <w:jc w:val="left"/>
        </w:trPr>
        <w:tc>
          <w:tcPr>
            <w:tcW w:w="203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СУ</w:t>
            </w:r>
          </w:p>
        </w:tc>
        <w:tc>
          <w:tcPr>
            <w:tcW w:w="20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6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6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6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r>
      <w:tr>
        <w:trPr>
          <w:trHeight w:val="1" w:hRule="atLeast"/>
          <w:jc w:val="left"/>
        </w:trPr>
        <w:tc>
          <w:tcPr>
            <w:tcW w:w="203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потребители</w:t>
            </w:r>
          </w:p>
        </w:tc>
        <w:tc>
          <w:tcPr>
            <w:tcW w:w="20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30</w:t>
            </w:r>
          </w:p>
        </w:tc>
        <w:tc>
          <w:tcPr>
            <w:tcW w:w="16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30</w:t>
            </w:r>
          </w:p>
        </w:tc>
        <w:tc>
          <w:tcPr>
            <w:tcW w:w="16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60</w:t>
            </w:r>
          </w:p>
        </w:tc>
        <w:tc>
          <w:tcPr>
            <w:tcW w:w="16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56</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Кубрат</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Общият брой на желаещите да ползват социални услуги на територията на община Кубрат е 100 лица.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Асистентска подкрепа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100</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Кубрат, различна от общината по настоящ адрес</w:t>
      </w: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Общият брой на лицата, които ползват социални услуги на територията на община Кубрат от други общини е 21 лица.</w:t>
      </w: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96" w:type="dxa"/>
              <w:right w:w="96"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Вид СУ</w:t>
            </w:r>
          </w:p>
        </w:tc>
        <w:tc>
          <w:tcPr>
            <w:tcW w:w="4514" w:type="dxa"/>
            <w:tcBorders>
              <w:top w:val="single" w:color="000000" w:sz="4"/>
              <w:left w:val="single" w:color="000000" w:sz="4"/>
              <w:bottom w:val="single" w:color="000000" w:sz="4"/>
              <w:right w:val="single" w:color="000000" w:sz="4"/>
            </w:tcBorders>
            <w:shd w:color="auto" w:fill="5b9bd5" w:val="clear"/>
            <w:tcMar>
              <w:left w:w="96" w:type="dxa"/>
              <w:right w:w="96"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96" w:type="dxa"/>
              <w:right w:w="96"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ЦОП</w:t>
            </w:r>
          </w:p>
        </w:tc>
        <w:tc>
          <w:tcPr>
            <w:tcW w:w="4514" w:type="dxa"/>
            <w:tcBorders>
              <w:top w:val="single" w:color="000000" w:sz="4"/>
              <w:left w:val="single" w:color="000000" w:sz="4"/>
              <w:bottom w:val="single" w:color="000000" w:sz="4"/>
              <w:right w:val="single" w:color="000000" w:sz="4"/>
            </w:tcBorders>
            <w:shd w:color="000000" w:fill="ffffff" w:val="clear"/>
            <w:tcMar>
              <w:left w:w="96" w:type="dxa"/>
              <w:right w:w="96"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96" w:type="dxa"/>
              <w:right w:w="96"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ДСХ</w:t>
            </w:r>
          </w:p>
        </w:tc>
        <w:tc>
          <w:tcPr>
            <w:tcW w:w="4514" w:type="dxa"/>
            <w:tcBorders>
              <w:top w:val="single" w:color="000000" w:sz="4"/>
              <w:left w:val="single" w:color="000000" w:sz="4"/>
              <w:bottom w:val="single" w:color="000000" w:sz="4"/>
              <w:right w:val="single" w:color="000000" w:sz="4"/>
            </w:tcBorders>
            <w:shd w:color="000000" w:fill="ffffff" w:val="clear"/>
            <w:tcMar>
              <w:left w:w="96" w:type="dxa"/>
              <w:right w:w="96"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19</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Кубрат за последните 5 години</w:t>
      </w: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 сравнение с края на 2017 г. населението на общината намалява с 1282 души, или с 7,86 % (средногодишен темп на намаление 2,02%). Намалението на населението е един от основните лимитиращи фактори за бъдещото развитие на всяка общината, които негативно се отразят най-вече върху работната сила и възпроизводствения потенциал на територията.</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 социалните услуги, на територията на общината е нает необходимият персонал за осигуряване на грижа за потребителите на услугите. В социалните услуги на територията на общината има незаети длъжности, както следва: 1 рехабилитатор; 1 медицински фелдшер, 2 Санитари и 1 трудотрапевт.</w:t>
      </w:r>
    </w:p>
    <w:p>
      <w:pPr>
        <w:keepNext w:val="true"/>
        <w:numPr>
          <w:ilvl w:val="0"/>
          <w:numId w:val="3404"/>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ЛОЗНИЦА</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По данни на община Лозница информацията за населението по настоящ адрес е получена от НСИ, Дирекция </w:t>
      </w:r>
      <w:r>
        <w:rPr>
          <w:rFonts w:ascii="Times New Roman" w:hAnsi="Times New Roman" w:cs="Times New Roman" w:eastAsia="Times New Roman"/>
          <w:color w:val="000000"/>
          <w:spacing w:val="0"/>
          <w:position w:val="0"/>
          <w:sz w:val="24"/>
          <w:shd w:fill="FFFFFF" w:val="clear"/>
        </w:rPr>
        <w:t xml:space="preserve">„</w:t>
      </w:r>
      <w:r>
        <w:rPr>
          <w:rFonts w:ascii="Times New Roman" w:hAnsi="Times New Roman" w:cs="Times New Roman" w:eastAsia="Times New Roman"/>
          <w:color w:val="000000"/>
          <w:spacing w:val="0"/>
          <w:position w:val="0"/>
          <w:sz w:val="24"/>
          <w:shd w:fill="FFFFFF" w:val="clear"/>
        </w:rPr>
        <w:t xml:space="preserve">Социално подпомагане“ - Разград, ДБТ </w:t>
      </w:r>
      <w:r>
        <w:rPr>
          <w:rFonts w:ascii="Times New Roman" w:hAnsi="Times New Roman" w:cs="Times New Roman" w:eastAsia="Times New Roman"/>
          <w:color w:val="000000"/>
          <w:spacing w:val="0"/>
          <w:position w:val="0"/>
          <w:sz w:val="24"/>
          <w:shd w:fill="FFFFFF" w:val="clear"/>
        </w:rPr>
        <w:t xml:space="preserve">–</w:t>
      </w:r>
      <w:r>
        <w:rPr>
          <w:rFonts w:ascii="Times New Roman" w:hAnsi="Times New Roman" w:cs="Times New Roman" w:eastAsia="Times New Roman"/>
          <w:color w:val="000000"/>
          <w:spacing w:val="0"/>
          <w:position w:val="0"/>
          <w:sz w:val="24"/>
          <w:shd w:fill="FFFFFF" w:val="clear"/>
        </w:rPr>
        <w:t xml:space="preserve"> </w:t>
      </w:r>
      <w:r>
        <w:rPr>
          <w:rFonts w:ascii="Times New Roman" w:hAnsi="Times New Roman" w:cs="Times New Roman" w:eastAsia="Times New Roman"/>
          <w:color w:val="000000"/>
          <w:spacing w:val="0"/>
          <w:position w:val="0"/>
          <w:sz w:val="24"/>
          <w:shd w:fill="FFFFFF" w:val="clear"/>
        </w:rPr>
        <w:t xml:space="preserve">Разград, Община Лозница и др. Националния статистически институт; органи, които по силата на закон имат право да събират и администрират съответните данни </w:t>
      </w:r>
      <w:r>
        <w:rPr>
          <w:rFonts w:ascii="Times New Roman" w:hAnsi="Times New Roman" w:cs="Times New Roman" w:eastAsia="Times New Roman"/>
          <w:color w:val="000000"/>
          <w:spacing w:val="0"/>
          <w:position w:val="0"/>
          <w:sz w:val="24"/>
          <w:shd w:fill="FFFFFF" w:val="clear"/>
        </w:rPr>
        <w:t xml:space="preserve">–</w:t>
      </w:r>
      <w:r>
        <w:rPr>
          <w:rFonts w:ascii="Times New Roman" w:hAnsi="Times New Roman" w:cs="Times New Roman" w:eastAsia="Times New Roman"/>
          <w:color w:val="000000"/>
          <w:spacing w:val="0"/>
          <w:position w:val="0"/>
          <w:sz w:val="24"/>
          <w:shd w:fill="FFFFFF" w:val="clear"/>
        </w:rPr>
        <w:t xml:space="preserve"> </w:t>
      </w:r>
      <w:r>
        <w:rPr>
          <w:rFonts w:ascii="Times New Roman" w:hAnsi="Times New Roman" w:cs="Times New Roman" w:eastAsia="Times New Roman"/>
          <w:color w:val="000000"/>
          <w:spacing w:val="0"/>
          <w:position w:val="0"/>
          <w:sz w:val="24"/>
          <w:shd w:fill="FFFFFF" w:val="clear"/>
        </w:rPr>
        <w:t xml:space="preserve">ДСП, РЗИ, РУО, Териториални поделения на НОИ; Областна администрация Разград; Община Лозница </w:t>
      </w:r>
      <w:r>
        <w:rPr>
          <w:rFonts w:ascii="Times New Roman" w:hAnsi="Times New Roman" w:cs="Times New Roman" w:eastAsia="Times New Roman"/>
          <w:color w:val="000000"/>
          <w:spacing w:val="0"/>
          <w:position w:val="0"/>
          <w:sz w:val="24"/>
          <w:shd w:fill="FFFFFF" w:val="clear"/>
        </w:rPr>
        <w:t xml:space="preserve">–</w:t>
      </w:r>
      <w:r>
        <w:rPr>
          <w:rFonts w:ascii="Times New Roman" w:hAnsi="Times New Roman" w:cs="Times New Roman" w:eastAsia="Times New Roman"/>
          <w:color w:val="000000"/>
          <w:spacing w:val="0"/>
          <w:position w:val="0"/>
          <w:sz w:val="24"/>
          <w:shd w:fill="FFFFFF" w:val="clear"/>
        </w:rPr>
        <w:t xml:space="preserve"> </w:t>
      </w:r>
      <w:r>
        <w:rPr>
          <w:rFonts w:ascii="Times New Roman" w:hAnsi="Times New Roman" w:cs="Times New Roman" w:eastAsia="Times New Roman"/>
          <w:color w:val="000000"/>
          <w:spacing w:val="0"/>
          <w:position w:val="0"/>
          <w:sz w:val="24"/>
          <w:shd w:fill="FFFFFF" w:val="clear"/>
        </w:rPr>
        <w:t xml:space="preserve">ГРАО и дирекциите, отговорни за социални и образователни дейности и др.; кметства на населени места; доставчиците на услуги за действащите социални услуги в община Лозница; общопрактикуващи лекари в община Лозница.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Общият брой на населението на община Лозница към 31.12.2021 г. е 7 699 жители, от тях 1 156 деца до 18-годишна възраст. Общият брой на лицата с трайни увреждания е 1 073, от тях деца 28.</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 територията на община Лозница са разкрити 3 социални услуги, от тях 2 се предоставят в гр. Лозница, 1 в с. Крояч. Социалните услуги са с добра материална база. Общият капацитет на социалните услуги е 65 потребители, в т.ч. 31 асистентска подкрепа.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tbl>
      <w:tblPr/>
      <w:tblGrid>
        <w:gridCol w:w="2171"/>
        <w:gridCol w:w="2283"/>
        <w:gridCol w:w="1609"/>
        <w:gridCol w:w="2997"/>
      </w:tblGrid>
      <w:tr>
        <w:trPr>
          <w:trHeight w:val="1" w:hRule="atLeast"/>
          <w:jc w:val="left"/>
        </w:trPr>
        <w:tc>
          <w:tcPr>
            <w:tcW w:w="217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28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ЦНСТПЛФУ</w:t>
            </w:r>
          </w:p>
        </w:tc>
        <w:tc>
          <w:tcPr>
            <w:tcW w:w="160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ЦСРИЛ</w:t>
            </w:r>
          </w:p>
        </w:tc>
        <w:tc>
          <w:tcPr>
            <w:tcW w:w="299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АП</w:t>
            </w:r>
          </w:p>
        </w:tc>
      </w:tr>
      <w:tr>
        <w:trPr>
          <w:trHeight w:val="1" w:hRule="atLeast"/>
          <w:jc w:val="left"/>
        </w:trPr>
        <w:tc>
          <w:tcPr>
            <w:tcW w:w="217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СУ</w:t>
            </w:r>
          </w:p>
        </w:tc>
        <w:tc>
          <w:tcPr>
            <w:tcW w:w="228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60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299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r>
      <w:tr>
        <w:trPr>
          <w:trHeight w:val="1" w:hRule="atLeast"/>
          <w:jc w:val="left"/>
        </w:trPr>
        <w:tc>
          <w:tcPr>
            <w:tcW w:w="217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Брой</w:t>
            </w:r>
          </w:p>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потребители</w:t>
            </w:r>
          </w:p>
        </w:tc>
        <w:tc>
          <w:tcPr>
            <w:tcW w:w="228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14</w:t>
            </w:r>
          </w:p>
        </w:tc>
        <w:tc>
          <w:tcPr>
            <w:tcW w:w="160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w:t>
            </w:r>
          </w:p>
        </w:tc>
        <w:tc>
          <w:tcPr>
            <w:tcW w:w="299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31</w:t>
            </w:r>
          </w:p>
        </w:tc>
      </w:tr>
    </w:tbl>
    <w:p>
      <w:pPr>
        <w:spacing w:before="0" w:after="0" w:line="240"/>
        <w:ind w:right="0" w:left="0" w:firstLine="0"/>
        <w:jc w:val="both"/>
        <w:rPr>
          <w:rFonts w:ascii="Times New Roman" w:hAnsi="Times New Roman" w:cs="Times New Roman" w:eastAsia="Times New Roman"/>
          <w:b/>
          <w:i/>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Лозница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Общият брой на желаещите да ползват социални услуги на територията на община Лозница е 16 лица.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 услуги:</w:t>
      </w:r>
    </w:p>
    <w:tbl>
      <w:tblPr/>
      <w:tblGrid>
        <w:gridCol w:w="4037"/>
        <w:gridCol w:w="5023"/>
      </w:tblGrid>
      <w:tr>
        <w:trPr>
          <w:trHeight w:val="1" w:hRule="atLeast"/>
          <w:jc w:val="left"/>
        </w:trPr>
        <w:tc>
          <w:tcPr>
            <w:tcW w:w="403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Социална услуга</w:t>
            </w:r>
          </w:p>
        </w:tc>
        <w:tc>
          <w:tcPr>
            <w:tcW w:w="502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желаещи да ползват СУ</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Асистентска подкрепа</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16</w:t>
            </w:r>
          </w:p>
        </w:tc>
      </w:tr>
    </w:tbl>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Лозница, различна от общината по настоящ адрес</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Общият брой на лицата, които ползват социални услуги на територията на община  Лозница от други общини е 14.</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Вид СУ</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ЦСРИПЛФУ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14</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Лозница за последните 5 години</w:t>
      </w:r>
    </w:p>
    <w:p>
      <w:pPr>
        <w:tabs>
          <w:tab w:val="left" w:pos="709" w:leader="none"/>
        </w:tabs>
        <w:suppressAutoHyphens w:val="true"/>
        <w:spacing w:before="0" w:after="6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За последните пет години населението на общината е намаляло с 806 души. Запазва се тенденцията за намаляване на населението и обезлюдяване на общината. За посочения период в процентно отношение населението е намаляло с 9,48%, което не се отличава с големи отклонения от процента на намаление на населението за областта, който е 9,23%, но е по-висок от процента на намаление на населението за страната, който е 7,52% за посочения период. Населението в трудоспособна възраст остава преобладаващо като лицата в тази група са 4718 души, но в предвид отрицателния естествен прираст тенденцията е то да намалява. Лицата над трудоспособна възраст са 1982 души, а под трудоспособна 999 души.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Социалните услуги в община Лозница са обезпечени с кадри необходими за предоставянето им. С малки изключения необходимостта от кадри по щатно разписание е задоволена. Има 1 незаето място в ЦНСТПЛФУ, с. Крояч.</w:t>
      </w:r>
    </w:p>
    <w:p>
      <w:pPr>
        <w:keepNext w:val="true"/>
        <w:numPr>
          <w:ilvl w:val="0"/>
          <w:numId w:val="3439"/>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РАЗГРАД</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 данни на община Разград информацията за населението по настоящ адрес е получена от НСИ, ДСП, ДБТ,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ГРАО“ на общината, данни от органи, които по силата на закон имат право да събират и администрират съответните данни; проведени от общините специално за целите на планирането на социалните услуги изчерпателни и представителни изследвания и проучвания като доклади, заповеди, месечни и годишни отчети, анализ на състоянието и ефективността на социалните услуги, които се предоставят на територията на община Разград.</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Общият брой на населението на община Разград към 31.12.2021 г. е 51 815 жители, от тях 7 141 деца до 18-годишна възраст. Общият брой на лицата с трайни увреждания е 5 718, от тях деца 184.</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 територията на община Разград са разкрити 16 социални услуги с общ капацитет 508 потребители, в т. ч. Асистентска подкрепа с 144 потребители.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tbl>
      <w:tblPr/>
      <w:tblGrid>
        <w:gridCol w:w="1588"/>
        <w:gridCol w:w="714"/>
        <w:gridCol w:w="1187"/>
        <w:gridCol w:w="763"/>
        <w:gridCol w:w="1060"/>
        <w:gridCol w:w="1442"/>
        <w:gridCol w:w="1221"/>
        <w:gridCol w:w="1085"/>
      </w:tblGrid>
      <w:tr>
        <w:trPr>
          <w:trHeight w:val="247" w:hRule="auto"/>
          <w:jc w:val="left"/>
        </w:trPr>
        <w:tc>
          <w:tcPr>
            <w:tcW w:w="158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ДСХ</w:t>
            </w:r>
          </w:p>
        </w:tc>
        <w:tc>
          <w:tcPr>
            <w:tcW w:w="118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ДЦДМУ</w:t>
            </w:r>
          </w:p>
        </w:tc>
        <w:tc>
          <w:tcPr>
            <w:tcW w:w="76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АП</w:t>
            </w:r>
          </w:p>
        </w:tc>
        <w:tc>
          <w:tcPr>
            <w:tcW w:w="10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ДЦПЛУ</w:t>
            </w:r>
          </w:p>
        </w:tc>
        <w:tc>
          <w:tcPr>
            <w:tcW w:w="144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ЦСРИД</w:t>
            </w:r>
          </w:p>
        </w:tc>
        <w:tc>
          <w:tcPr>
            <w:tcW w:w="122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ЦРДУ</w:t>
            </w:r>
          </w:p>
        </w:tc>
        <w:tc>
          <w:tcPr>
            <w:tcW w:w="108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ЦОП</w:t>
            </w:r>
          </w:p>
        </w:tc>
      </w:tr>
      <w:tr>
        <w:trPr>
          <w:trHeight w:val="238" w:hRule="auto"/>
          <w:jc w:val="left"/>
        </w:trPr>
        <w:tc>
          <w:tcPr>
            <w:tcW w:w="15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СУ</w:t>
            </w:r>
          </w:p>
        </w:tc>
        <w:tc>
          <w:tcPr>
            <w:tcW w:w="7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1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7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0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4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2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0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r>
      <w:tr>
        <w:trPr>
          <w:trHeight w:val="485" w:hRule="auto"/>
          <w:jc w:val="left"/>
        </w:trPr>
        <w:tc>
          <w:tcPr>
            <w:tcW w:w="15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потребители</w:t>
            </w:r>
          </w:p>
        </w:tc>
        <w:tc>
          <w:tcPr>
            <w:tcW w:w="7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80</w:t>
            </w:r>
          </w:p>
        </w:tc>
        <w:tc>
          <w:tcPr>
            <w:tcW w:w="11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25</w:t>
            </w:r>
          </w:p>
        </w:tc>
        <w:tc>
          <w:tcPr>
            <w:tcW w:w="7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144</w:t>
            </w:r>
          </w:p>
        </w:tc>
        <w:tc>
          <w:tcPr>
            <w:tcW w:w="10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25</w:t>
            </w:r>
          </w:p>
        </w:tc>
        <w:tc>
          <w:tcPr>
            <w:tcW w:w="14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61</w:t>
            </w:r>
          </w:p>
        </w:tc>
        <w:tc>
          <w:tcPr>
            <w:tcW w:w="12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15</w:t>
            </w:r>
          </w:p>
        </w:tc>
        <w:tc>
          <w:tcPr>
            <w:tcW w:w="10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45</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654"/>
        <w:gridCol w:w="1590"/>
        <w:gridCol w:w="1591"/>
        <w:gridCol w:w="1192"/>
        <w:gridCol w:w="1841"/>
        <w:gridCol w:w="1192"/>
      </w:tblGrid>
      <w:tr>
        <w:trPr>
          <w:trHeight w:val="1" w:hRule="atLeast"/>
          <w:jc w:val="left"/>
        </w:trPr>
        <w:tc>
          <w:tcPr>
            <w:tcW w:w="165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9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ЦНСТДБУ</w:t>
            </w:r>
          </w:p>
        </w:tc>
        <w:tc>
          <w:tcPr>
            <w:tcW w:w="159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ЦНСТДМУ</w:t>
            </w:r>
          </w:p>
        </w:tc>
        <w:tc>
          <w:tcPr>
            <w:tcW w:w="119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ЗЖЛУИ</w:t>
            </w:r>
          </w:p>
        </w:tc>
        <w:tc>
          <w:tcPr>
            <w:tcW w:w="184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ЦНСТПЛПР</w:t>
            </w:r>
          </w:p>
        </w:tc>
        <w:tc>
          <w:tcPr>
            <w:tcW w:w="119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ЦСРИЛ</w:t>
            </w:r>
          </w:p>
        </w:tc>
      </w:tr>
      <w:tr>
        <w:trPr>
          <w:trHeight w:val="352" w:hRule="auto"/>
          <w:jc w:val="left"/>
        </w:trPr>
        <w:tc>
          <w:tcPr>
            <w:tcW w:w="165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СУ</w:t>
            </w:r>
          </w:p>
        </w:tc>
        <w:tc>
          <w:tcPr>
            <w:tcW w:w="15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w:t>
            </w:r>
          </w:p>
        </w:tc>
        <w:tc>
          <w:tcPr>
            <w:tcW w:w="15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w:t>
            </w:r>
          </w:p>
        </w:tc>
        <w:tc>
          <w:tcPr>
            <w:tcW w:w="11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w:t>
            </w:r>
          </w:p>
        </w:tc>
        <w:tc>
          <w:tcPr>
            <w:tcW w:w="11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r>
      <w:tr>
        <w:trPr>
          <w:trHeight w:val="1" w:hRule="atLeast"/>
          <w:jc w:val="left"/>
        </w:trPr>
        <w:tc>
          <w:tcPr>
            <w:tcW w:w="165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потребители</w:t>
            </w:r>
          </w:p>
        </w:tc>
        <w:tc>
          <w:tcPr>
            <w:tcW w:w="15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28</w:t>
            </w:r>
          </w:p>
        </w:tc>
        <w:tc>
          <w:tcPr>
            <w:tcW w:w="15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28</w:t>
            </w:r>
          </w:p>
        </w:tc>
        <w:tc>
          <w:tcPr>
            <w:tcW w:w="11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w:t>
            </w:r>
          </w:p>
        </w:tc>
        <w:tc>
          <w:tcPr>
            <w:tcW w:w="1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26</w:t>
            </w:r>
          </w:p>
        </w:tc>
        <w:tc>
          <w:tcPr>
            <w:tcW w:w="11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25</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Разград</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Общият брой на желаещите да ползват социални услуги на територията на община Разград е 142 лица.</w:t>
      </w: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ЗЖЛУИ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ЦНСТПЛПР</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28</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ДЦПЛУ</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ДСХ</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Асистентска подкрепа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109</w:t>
            </w:r>
          </w:p>
        </w:tc>
      </w:tr>
    </w:tbl>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 услуги: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Разград, различна от общината по настоящ адрес</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Общият брой на лицата от други общини, които ползват социални услуги на територията на община Разград е 127.</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96" w:type="dxa"/>
              <w:right w:w="96"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Вид СУ</w:t>
            </w:r>
          </w:p>
        </w:tc>
        <w:tc>
          <w:tcPr>
            <w:tcW w:w="4514" w:type="dxa"/>
            <w:tcBorders>
              <w:top w:val="single" w:color="000000" w:sz="4"/>
              <w:left w:val="single" w:color="000000" w:sz="4"/>
              <w:bottom w:val="single" w:color="000000" w:sz="4"/>
              <w:right w:val="single" w:color="000000" w:sz="4"/>
            </w:tcBorders>
            <w:shd w:color="auto" w:fill="5b9bd5" w:val="clear"/>
            <w:tcMar>
              <w:left w:w="96" w:type="dxa"/>
              <w:right w:w="96"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96" w:type="dxa"/>
              <w:right w:w="96"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ЦСРИЛ</w:t>
            </w:r>
          </w:p>
        </w:tc>
        <w:tc>
          <w:tcPr>
            <w:tcW w:w="4514" w:type="dxa"/>
            <w:tcBorders>
              <w:top w:val="single" w:color="000000" w:sz="4"/>
              <w:left w:val="single" w:color="000000" w:sz="4"/>
              <w:bottom w:val="single" w:color="000000" w:sz="4"/>
              <w:right w:val="single" w:color="000000" w:sz="4"/>
            </w:tcBorders>
            <w:shd w:color="000000" w:fill="ffffff" w:val="clear"/>
            <w:tcMar>
              <w:left w:w="96" w:type="dxa"/>
              <w:right w:w="96"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14</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96" w:type="dxa"/>
              <w:right w:w="96"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ЦСРИД</w:t>
            </w:r>
          </w:p>
        </w:tc>
        <w:tc>
          <w:tcPr>
            <w:tcW w:w="4514" w:type="dxa"/>
            <w:tcBorders>
              <w:top w:val="single" w:color="000000" w:sz="4"/>
              <w:left w:val="single" w:color="000000" w:sz="4"/>
              <w:bottom w:val="single" w:color="000000" w:sz="4"/>
              <w:right w:val="single" w:color="000000" w:sz="4"/>
            </w:tcBorders>
            <w:shd w:color="000000" w:fill="ffffff" w:val="clear"/>
            <w:tcMar>
              <w:left w:w="96" w:type="dxa"/>
              <w:right w:w="96"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16</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96" w:type="dxa"/>
              <w:right w:w="96"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ЦНСТДМУ</w:t>
            </w:r>
          </w:p>
        </w:tc>
        <w:tc>
          <w:tcPr>
            <w:tcW w:w="4514" w:type="dxa"/>
            <w:tcBorders>
              <w:top w:val="single" w:color="000000" w:sz="4"/>
              <w:left w:val="single" w:color="000000" w:sz="4"/>
              <w:bottom w:val="single" w:color="000000" w:sz="4"/>
              <w:right w:val="single" w:color="000000" w:sz="4"/>
            </w:tcBorders>
            <w:shd w:color="000000" w:fill="ffffff" w:val="clear"/>
            <w:tcMar>
              <w:left w:w="96" w:type="dxa"/>
              <w:right w:w="96"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19</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96" w:type="dxa"/>
              <w:right w:w="96"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ЗЖЛУИ</w:t>
            </w:r>
          </w:p>
        </w:tc>
        <w:tc>
          <w:tcPr>
            <w:tcW w:w="4514" w:type="dxa"/>
            <w:tcBorders>
              <w:top w:val="single" w:color="000000" w:sz="4"/>
              <w:left w:val="single" w:color="000000" w:sz="4"/>
              <w:bottom w:val="single" w:color="000000" w:sz="4"/>
              <w:right w:val="single" w:color="000000" w:sz="4"/>
            </w:tcBorders>
            <w:shd w:color="000000" w:fill="ffffff" w:val="clear"/>
            <w:tcMar>
              <w:left w:w="96" w:type="dxa"/>
              <w:right w:w="96"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96" w:type="dxa"/>
              <w:right w:w="96"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ЦНСТПЛПР</w:t>
            </w:r>
          </w:p>
        </w:tc>
        <w:tc>
          <w:tcPr>
            <w:tcW w:w="4514" w:type="dxa"/>
            <w:tcBorders>
              <w:top w:val="single" w:color="000000" w:sz="4"/>
              <w:left w:val="single" w:color="000000" w:sz="4"/>
              <w:bottom w:val="single" w:color="000000" w:sz="4"/>
              <w:right w:val="single" w:color="000000" w:sz="4"/>
            </w:tcBorders>
            <w:shd w:color="000000" w:fill="ffffff" w:val="clear"/>
            <w:tcMar>
              <w:left w:w="96" w:type="dxa"/>
              <w:right w:w="96"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15</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96" w:type="dxa"/>
              <w:right w:w="96"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ЦНСТДБУ</w:t>
            </w:r>
          </w:p>
        </w:tc>
        <w:tc>
          <w:tcPr>
            <w:tcW w:w="4514" w:type="dxa"/>
            <w:tcBorders>
              <w:top w:val="single" w:color="000000" w:sz="4"/>
              <w:left w:val="single" w:color="000000" w:sz="4"/>
              <w:bottom w:val="single" w:color="000000" w:sz="4"/>
              <w:right w:val="single" w:color="000000" w:sz="4"/>
            </w:tcBorders>
            <w:shd w:color="000000" w:fill="ffffff" w:val="clear"/>
            <w:tcMar>
              <w:left w:w="96" w:type="dxa"/>
              <w:right w:w="96"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11</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96" w:type="dxa"/>
              <w:right w:w="96"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ЦОП</w:t>
            </w:r>
          </w:p>
        </w:tc>
        <w:tc>
          <w:tcPr>
            <w:tcW w:w="4514" w:type="dxa"/>
            <w:tcBorders>
              <w:top w:val="single" w:color="000000" w:sz="4"/>
              <w:left w:val="single" w:color="000000" w:sz="4"/>
              <w:bottom w:val="single" w:color="000000" w:sz="4"/>
              <w:right w:val="single" w:color="000000" w:sz="4"/>
            </w:tcBorders>
            <w:shd w:color="000000" w:fill="ffffff" w:val="clear"/>
            <w:tcMar>
              <w:left w:w="96" w:type="dxa"/>
              <w:right w:w="96"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21</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96" w:type="dxa"/>
              <w:right w:w="96"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ДЦПЛУ</w:t>
            </w:r>
          </w:p>
        </w:tc>
        <w:tc>
          <w:tcPr>
            <w:tcW w:w="4514" w:type="dxa"/>
            <w:tcBorders>
              <w:top w:val="single" w:color="000000" w:sz="4"/>
              <w:left w:val="single" w:color="000000" w:sz="4"/>
              <w:bottom w:val="single" w:color="000000" w:sz="4"/>
              <w:right w:val="single" w:color="000000" w:sz="4"/>
            </w:tcBorders>
            <w:shd w:color="000000" w:fill="ffffff" w:val="clear"/>
            <w:tcMar>
              <w:left w:w="96" w:type="dxa"/>
              <w:right w:w="96"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96" w:type="dxa"/>
              <w:right w:w="96"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ДЦДМУ</w:t>
            </w:r>
          </w:p>
        </w:tc>
        <w:tc>
          <w:tcPr>
            <w:tcW w:w="4514" w:type="dxa"/>
            <w:tcBorders>
              <w:top w:val="single" w:color="000000" w:sz="4"/>
              <w:left w:val="single" w:color="000000" w:sz="4"/>
              <w:bottom w:val="single" w:color="000000" w:sz="4"/>
              <w:right w:val="single" w:color="000000" w:sz="4"/>
            </w:tcBorders>
            <w:shd w:color="000000" w:fill="ffffff" w:val="clear"/>
            <w:tcMar>
              <w:left w:w="96" w:type="dxa"/>
              <w:right w:w="96"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96" w:type="dxa"/>
              <w:right w:w="96"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ДСХ</w:t>
            </w:r>
          </w:p>
        </w:tc>
        <w:tc>
          <w:tcPr>
            <w:tcW w:w="4514" w:type="dxa"/>
            <w:tcBorders>
              <w:top w:val="single" w:color="000000" w:sz="4"/>
              <w:left w:val="single" w:color="000000" w:sz="4"/>
              <w:bottom w:val="single" w:color="000000" w:sz="4"/>
              <w:right w:val="single" w:color="000000" w:sz="4"/>
            </w:tcBorders>
            <w:shd w:color="000000" w:fill="ffffff" w:val="clear"/>
            <w:tcMar>
              <w:left w:w="96" w:type="dxa"/>
              <w:right w:w="96"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26</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Разград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 развитието на демографските процеси в страната през последните години се утвърдиха неблагоприятни тенденции за намаляване броя на населението. По данни взети от НЦОЗА към 31.12.2021 г. за област Разград раждаемост е /8,5%/, а смъртността е 1049 души /18,0%/. От тази информация се вижда ясно негативната тенденция, която преобладава навсякъде, а именно отрицателният прираст на населението. Последицата от това негативно явление е застаряване на населението, което за съжаление се наблюдава и в община Разград. Застаряването на населението поставя допълнителни изисквания пред структурата на здравните потребности, поради обстоятелството, че възрастните хора са носители на повече от едно хронично заболяване, водещо до по-големи разходи за здравно обслужване. Застаряването на населението поражда редица здравни, социални и икономически проблеми. Увеличените потребности от здравни грижи и социално подпомагане водят до увеличаване на разходите в тези сфери и необходимост от по-големи ресурси. В разглеждания период населението под трудоспособна възраст поддържа тенденция на намаляване. Със същата тенденция се характеризира и населението в трудоспособна възраст и над трудоспособна възраст.</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Към настоящия момент социалните услуги са обезпечени с необходимия персонал.</w:t>
      </w:r>
    </w:p>
    <w:p>
      <w:pPr>
        <w:keepNext w:val="true"/>
        <w:numPr>
          <w:ilvl w:val="0"/>
          <w:numId w:val="3507"/>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САМУИЛ</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 данни на община Самуил информацията за населението по настоящ адрес е на база анализи, доклади, стратегически документи на национално, областно и местно ниво; статистически бази-данни, събирани и актуализирани от институциите на областно и общинско ниво - като РДСП, РУ на МОН, РЗИ, ДБТ, ТСБ, Териториално поделение на НОИ, ДСП - Самуил; общинска администрация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ГРАО и дирекциите, отговорни за социални и образователни дейности и др.; данни, документация и експертиза на доставчиците на услуги за действащите социални услуги в общината; училища, лични лекари и др., които разполагат с информация за състоянието на свързаните със социалните услуги сектори; данни и документация от кметства и читалища по населени места.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Общият брой на населението на община Самуил към 31.12.2021 г. е 7086 жители, от тях 1177 деца до 18-годишна възраст. Общият брой на лицата с трайни увреждания е 1233, от тях деца 45.</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 територията на община Самуил са разкрити 13 социални услуги, като от тях по 1 социална услуга се предоставя на териториите на с. Голяма вода, с. Ножарево, с. Пчелина, с. Владимировци, с. Хърсово, с. Богомилци, с. Хума, с. Кривица и 5 социални услуги функционират на територията на с. Самуил. Общият капацитет на социалните услуги е за 222 потребители, в т.ч. 31 асистентска подкрепа.</w:t>
      </w: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p>
    <w:tbl>
      <w:tblPr/>
      <w:tblGrid>
        <w:gridCol w:w="1853"/>
        <w:gridCol w:w="1486"/>
        <w:gridCol w:w="1928"/>
        <w:gridCol w:w="1698"/>
        <w:gridCol w:w="2095"/>
      </w:tblGrid>
      <w:tr>
        <w:trPr>
          <w:trHeight w:val="1" w:hRule="atLeast"/>
          <w:jc w:val="left"/>
        </w:trPr>
        <w:tc>
          <w:tcPr>
            <w:tcW w:w="185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709"/>
              <w:jc w:val="both"/>
              <w:rPr>
                <w:rFonts w:ascii="Calibri" w:hAnsi="Calibri" w:cs="Calibri" w:eastAsia="Calibri"/>
                <w:color w:val="auto"/>
                <w:spacing w:val="0"/>
                <w:position w:val="0"/>
                <w:sz w:val="22"/>
                <w:shd w:fill="auto" w:val="clear"/>
              </w:rPr>
            </w:pPr>
          </w:p>
        </w:tc>
        <w:tc>
          <w:tcPr>
            <w:tcW w:w="148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ЗЖЛУИ</w:t>
            </w:r>
          </w:p>
        </w:tc>
        <w:tc>
          <w:tcPr>
            <w:tcW w:w="192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ЦНСТПЛУИ</w:t>
            </w:r>
          </w:p>
        </w:tc>
        <w:tc>
          <w:tcPr>
            <w:tcW w:w="169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ЦНСТПЛД</w:t>
            </w:r>
          </w:p>
        </w:tc>
        <w:tc>
          <w:tcPr>
            <w:tcW w:w="209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ЦНСТПЛФУ</w:t>
            </w:r>
          </w:p>
        </w:tc>
      </w:tr>
      <w:tr>
        <w:trPr>
          <w:trHeight w:val="1" w:hRule="atLeast"/>
          <w:jc w:val="left"/>
        </w:trPr>
        <w:tc>
          <w:tcPr>
            <w:tcW w:w="185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СУ</w:t>
            </w:r>
          </w:p>
        </w:tc>
        <w:tc>
          <w:tcPr>
            <w:tcW w:w="14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9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w:t>
            </w:r>
          </w:p>
        </w:tc>
        <w:tc>
          <w:tcPr>
            <w:tcW w:w="16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20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r>
      <w:tr>
        <w:trPr>
          <w:trHeight w:val="1" w:hRule="atLeast"/>
          <w:jc w:val="left"/>
        </w:trPr>
        <w:tc>
          <w:tcPr>
            <w:tcW w:w="185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потребители</w:t>
            </w:r>
          </w:p>
        </w:tc>
        <w:tc>
          <w:tcPr>
            <w:tcW w:w="14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w:t>
            </w:r>
          </w:p>
        </w:tc>
        <w:tc>
          <w:tcPr>
            <w:tcW w:w="19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105</w:t>
            </w:r>
          </w:p>
        </w:tc>
        <w:tc>
          <w:tcPr>
            <w:tcW w:w="16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w:t>
            </w:r>
          </w:p>
        </w:tc>
        <w:tc>
          <w:tcPr>
            <w:tcW w:w="20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15</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070"/>
        <w:gridCol w:w="2030"/>
        <w:gridCol w:w="2030"/>
        <w:gridCol w:w="1925"/>
      </w:tblGrid>
      <w:tr>
        <w:trPr>
          <w:trHeight w:val="1" w:hRule="atLeast"/>
          <w:jc w:val="left"/>
        </w:trPr>
        <w:tc>
          <w:tcPr>
            <w:tcW w:w="307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709"/>
              <w:jc w:val="center"/>
              <w:rPr>
                <w:rFonts w:ascii="Calibri" w:hAnsi="Calibri" w:cs="Calibri" w:eastAsia="Calibri"/>
                <w:color w:val="auto"/>
                <w:spacing w:val="0"/>
                <w:position w:val="0"/>
                <w:sz w:val="22"/>
                <w:shd w:fill="auto" w:val="clear"/>
              </w:rPr>
            </w:pPr>
          </w:p>
        </w:tc>
        <w:tc>
          <w:tcPr>
            <w:tcW w:w="203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ЦСРИЛ</w:t>
            </w:r>
          </w:p>
        </w:tc>
        <w:tc>
          <w:tcPr>
            <w:tcW w:w="203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ЦОП</w:t>
            </w:r>
          </w:p>
        </w:tc>
        <w:tc>
          <w:tcPr>
            <w:tcW w:w="192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АП</w:t>
            </w:r>
          </w:p>
        </w:tc>
      </w:tr>
      <w:tr>
        <w:trPr>
          <w:trHeight w:val="1" w:hRule="atLeast"/>
          <w:jc w:val="left"/>
        </w:trPr>
        <w:tc>
          <w:tcPr>
            <w:tcW w:w="30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СУ</w:t>
            </w:r>
          </w:p>
        </w:tc>
        <w:tc>
          <w:tcPr>
            <w:tcW w:w="20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20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9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w:t>
            </w:r>
          </w:p>
        </w:tc>
      </w:tr>
      <w:tr>
        <w:trPr>
          <w:trHeight w:val="1" w:hRule="atLeast"/>
          <w:jc w:val="left"/>
        </w:trPr>
        <w:tc>
          <w:tcPr>
            <w:tcW w:w="30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потребители</w:t>
            </w:r>
          </w:p>
        </w:tc>
        <w:tc>
          <w:tcPr>
            <w:tcW w:w="20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30</w:t>
            </w:r>
          </w:p>
        </w:tc>
        <w:tc>
          <w:tcPr>
            <w:tcW w:w="20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w:t>
            </w:r>
          </w:p>
        </w:tc>
        <w:tc>
          <w:tcPr>
            <w:tcW w:w="19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31</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Самуил</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Общият брой на желаещите да ползват социални услуги на територията на община Самуил е 21 лица.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ЦНСТПЛУИ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15</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ЦНСТПЛФУ</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ЦНСТПЛД</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ДСХ</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Самуил,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Общият брой на лицата от други общини, които ползват социални услуги на територията на община Самуил е 7 лица.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96" w:type="dxa"/>
              <w:right w:w="96"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Вид СУ</w:t>
            </w:r>
          </w:p>
        </w:tc>
        <w:tc>
          <w:tcPr>
            <w:tcW w:w="4514" w:type="dxa"/>
            <w:tcBorders>
              <w:top w:val="single" w:color="000000" w:sz="4"/>
              <w:left w:val="single" w:color="000000" w:sz="4"/>
              <w:bottom w:val="single" w:color="000000" w:sz="4"/>
              <w:right w:val="single" w:color="000000" w:sz="4"/>
            </w:tcBorders>
            <w:shd w:color="auto" w:fill="5b9bd5" w:val="clear"/>
            <w:tcMar>
              <w:left w:w="96" w:type="dxa"/>
              <w:right w:w="96"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96" w:type="dxa"/>
              <w:right w:w="96"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ЦНСТПЛУИ</w:t>
            </w:r>
          </w:p>
        </w:tc>
        <w:tc>
          <w:tcPr>
            <w:tcW w:w="4514" w:type="dxa"/>
            <w:tcBorders>
              <w:top w:val="single" w:color="000000" w:sz="4"/>
              <w:left w:val="single" w:color="000000" w:sz="4"/>
              <w:bottom w:val="single" w:color="000000" w:sz="4"/>
              <w:right w:val="single" w:color="000000" w:sz="4"/>
            </w:tcBorders>
            <w:shd w:color="000000" w:fill="ffffff" w:val="clear"/>
            <w:tcMar>
              <w:left w:w="96" w:type="dxa"/>
              <w:right w:w="96"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96" w:type="dxa"/>
              <w:right w:w="96"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ЦНСТПЛД</w:t>
            </w:r>
          </w:p>
        </w:tc>
        <w:tc>
          <w:tcPr>
            <w:tcW w:w="4514" w:type="dxa"/>
            <w:tcBorders>
              <w:top w:val="single" w:color="000000" w:sz="4"/>
              <w:left w:val="single" w:color="000000" w:sz="4"/>
              <w:bottom w:val="single" w:color="000000" w:sz="4"/>
              <w:right w:val="single" w:color="000000" w:sz="4"/>
            </w:tcBorders>
            <w:shd w:color="000000" w:fill="ffffff" w:val="clear"/>
            <w:tcMar>
              <w:left w:w="96" w:type="dxa"/>
              <w:right w:w="96"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96" w:type="dxa"/>
              <w:right w:w="96"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ЦНСТДПЛФУ</w:t>
            </w:r>
          </w:p>
        </w:tc>
        <w:tc>
          <w:tcPr>
            <w:tcW w:w="4514" w:type="dxa"/>
            <w:tcBorders>
              <w:top w:val="single" w:color="000000" w:sz="4"/>
              <w:left w:val="single" w:color="000000" w:sz="4"/>
              <w:bottom w:val="single" w:color="000000" w:sz="4"/>
              <w:right w:val="single" w:color="000000" w:sz="4"/>
            </w:tcBorders>
            <w:shd w:color="000000" w:fill="ffffff" w:val="clear"/>
            <w:tcMar>
              <w:left w:w="96" w:type="dxa"/>
              <w:right w:w="96"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Самуил за последните 5 години</w:t>
      </w:r>
    </w:p>
    <w:p>
      <w:pPr>
        <w:suppressAutoHyphens w:val="true"/>
        <w:spacing w:before="0" w:after="60" w:line="240"/>
        <w:ind w:right="0" w:left="0" w:firstLine="0"/>
        <w:jc w:val="both"/>
        <w:rPr>
          <w:rFonts w:ascii="Times New Roman" w:hAnsi="Times New Roman" w:cs="Times New Roman" w:eastAsia="Times New Roman"/>
          <w:color w:val="000000"/>
          <w:spacing w:val="0"/>
          <w:position w:val="0"/>
          <w:sz w:val="24"/>
          <w:shd w:fill="auto" w:val="clear"/>
        </w:rPr>
      </w:pPr>
    </w:p>
    <w:p>
      <w:pPr>
        <w:suppressAutoHyphens w:val="true"/>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Анализът на данните показва основните демографски проблеми в община Самуил, които имат пряко отношение към социалната политика и системата на социалните услуги и към потребностите на населението от социални, здравни и др. услуги: застаряване на населението и регресивен тип възрастова структура; ниска раждаемост с тенденция към по-силно намаление; висока смъртност и отрицателен естествен прираст; устойчива тенденция към емиграция и намаляване на населението в община Самуил с ясно изразени външно-миграционни процеси. Във връзка със съотношение между трите възрастови групи</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под, в и над трудоспособна възраст</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Община Самуил е с тенденция за преминаване в неблагоприятна възрастова структура.</w:t>
      </w:r>
    </w:p>
    <w:p>
      <w:pPr>
        <w:spacing w:before="0" w:after="60" w:line="240"/>
        <w:ind w:right="0" w:left="0" w:firstLine="0"/>
        <w:jc w:val="both"/>
        <w:rPr>
          <w:rFonts w:ascii="Times New Roman" w:hAnsi="Times New Roman" w:cs="Times New Roman" w:eastAsia="Times New Roman"/>
          <w:b/>
          <w:i/>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Персоналът за управление на социалните услуги и заетият в предоставяне на услугите е с дългогодишен опит и стаж при предоставяне на социална работа с потребители в услугите. Общ брой на служителите по щатно разписание - 157, общ брой назначен персонал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146 </w:t>
      </w:r>
      <w:r>
        <w:rPr>
          <w:rFonts w:ascii="Times New Roman" w:hAnsi="Times New Roman" w:cs="Times New Roman" w:eastAsia="Times New Roman"/>
          <w:color w:val="000000"/>
          <w:spacing w:val="0"/>
          <w:position w:val="0"/>
          <w:sz w:val="24"/>
          <w:shd w:fill="auto" w:val="clear"/>
        </w:rPr>
        <w:t xml:space="preserve">души осъществяващи дейности по предоставяне на социални услуги.</w:t>
      </w:r>
    </w:p>
    <w:p>
      <w:pPr>
        <w:keepNext w:val="true"/>
        <w:numPr>
          <w:ilvl w:val="0"/>
          <w:numId w:val="3562"/>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ЦАР КАЛОЯН</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uppressAutoHyphens w:val="true"/>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При изготвянето на анализа са използвани Статистически бази данни, редовно събирани и актуализирани от: Териториалното статистическо бюро в Разград,</w:t>
      </w:r>
      <w:r>
        <w:rPr>
          <w:rFonts w:ascii="Times New Roman" w:hAnsi="Times New Roman" w:cs="Times New Roman" w:eastAsia="Times New Roman"/>
          <w:i/>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Дирекция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Социално подпомагане“ гр. Разград и Дирекция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Бюро по труда“ гр. Разград, общинска администрация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ГРАО и дирекциите, отговорни за социални и образователни дейности и др.; националният статистически институт; данни, документация и експертиза на доставчиците на услуги за действащите социални услуги в общината; училища, лични лекари и др., които разполагат със специфична информация за състоянието на отделни групи лица, ползващи социалните услуги; данни и документация от кметства по населени места;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Общият брой на населението на община Цар Калоян към 31.12.2021 г. е 4569 жители, от тях 614 деца. Общият брой на лицата с трайни увреждания е 879, от тях деца 15.</w:t>
      </w:r>
    </w:p>
    <w:p>
      <w:pPr>
        <w:spacing w:before="0" w:after="60" w:line="240"/>
        <w:ind w:right="0" w:left="0" w:firstLine="709"/>
        <w:jc w:val="both"/>
        <w:rPr>
          <w:rFonts w:ascii="Times New Roman" w:hAnsi="Times New Roman" w:cs="Times New Roman" w:eastAsia="Times New Roman"/>
          <w:color w:val="000000"/>
          <w:spacing w:val="0"/>
          <w:position w:val="0"/>
          <w:sz w:val="24"/>
          <w:shd w:fill="auto" w:val="clear"/>
        </w:rPr>
      </w:pPr>
    </w:p>
    <w:p>
      <w:pPr>
        <w:spacing w:before="0" w:after="60" w:line="240"/>
        <w:ind w:right="0" w:left="0" w:firstLine="709"/>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 територията на община Цар Калоян са разкрити 4 социални услуги, и всички се предоставят в гр. Цар Калоян. Общият капацитет на социалните услуги е за 56 потребители, в т.ч. 21 асистентска подкрепа.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tbl>
      <w:tblPr/>
      <w:tblGrid>
        <w:gridCol w:w="1946"/>
        <w:gridCol w:w="2622"/>
        <w:gridCol w:w="2917"/>
        <w:gridCol w:w="1575"/>
      </w:tblGrid>
      <w:tr>
        <w:trPr>
          <w:trHeight w:val="1" w:hRule="atLeast"/>
          <w:jc w:val="left"/>
        </w:trPr>
        <w:tc>
          <w:tcPr>
            <w:tcW w:w="19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62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ЦСРИДЛУ</w:t>
            </w:r>
          </w:p>
        </w:tc>
        <w:tc>
          <w:tcPr>
            <w:tcW w:w="291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ЦНСТПЛФУ</w:t>
            </w:r>
          </w:p>
        </w:tc>
        <w:tc>
          <w:tcPr>
            <w:tcW w:w="157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АП</w:t>
            </w:r>
          </w:p>
        </w:tc>
      </w:tr>
      <w:tr>
        <w:trPr>
          <w:trHeight w:val="1" w:hRule="atLeast"/>
          <w:jc w:val="left"/>
        </w:trPr>
        <w:tc>
          <w:tcPr>
            <w:tcW w:w="194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СУ</w:t>
            </w:r>
          </w:p>
        </w:tc>
        <w:tc>
          <w:tcPr>
            <w:tcW w:w="26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29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w:t>
            </w:r>
          </w:p>
        </w:tc>
        <w:tc>
          <w:tcPr>
            <w:tcW w:w="15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r>
      <w:tr>
        <w:trPr>
          <w:trHeight w:val="1" w:hRule="atLeast"/>
          <w:jc w:val="left"/>
        </w:trPr>
        <w:tc>
          <w:tcPr>
            <w:tcW w:w="194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потребители</w:t>
            </w:r>
          </w:p>
        </w:tc>
        <w:tc>
          <w:tcPr>
            <w:tcW w:w="26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15</w:t>
            </w:r>
          </w:p>
        </w:tc>
        <w:tc>
          <w:tcPr>
            <w:tcW w:w="29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w:t>
            </w:r>
          </w:p>
        </w:tc>
        <w:tc>
          <w:tcPr>
            <w:tcW w:w="15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21 </w:t>
            </w:r>
          </w:p>
        </w:tc>
      </w:tr>
    </w:tbl>
    <w:p>
      <w:pPr>
        <w:spacing w:before="0" w:after="0" w:line="240"/>
        <w:ind w:right="0" w:left="0" w:firstLine="0"/>
        <w:jc w:val="both"/>
        <w:rPr>
          <w:rFonts w:ascii="Times New Roman" w:hAnsi="Times New Roman" w:cs="Times New Roman" w:eastAsia="Times New Roman"/>
          <w:i/>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Цар Калоян</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Общият брой на желаещите да ползват социални услуги на територията на община Цар Калоян е 22 лица.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Асистентска подкрепа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22</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Цар Калоян, различна от  общината по настоящ адрес</w:t>
      </w: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Общият брой на лицата, които ползват социални услуги на територията на община Цар Калоян от други общини е 4 лица.</w:t>
      </w: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p>
    <w:tbl>
      <w:tblPr/>
      <w:tblGrid>
        <w:gridCol w:w="4695"/>
        <w:gridCol w:w="4365"/>
      </w:tblGrid>
      <w:tr>
        <w:trPr>
          <w:trHeight w:val="1" w:hRule="atLeast"/>
          <w:jc w:val="left"/>
        </w:trPr>
        <w:tc>
          <w:tcPr>
            <w:tcW w:w="4695" w:type="dxa"/>
            <w:tcBorders>
              <w:top w:val="single" w:color="000000" w:sz="4"/>
              <w:left w:val="single" w:color="000000" w:sz="4"/>
              <w:bottom w:val="single" w:color="000000" w:sz="4"/>
              <w:right w:val="single" w:color="000000" w:sz="4"/>
            </w:tcBorders>
            <w:shd w:color="auto" w:fill="5b9bd5" w:val="clear"/>
            <w:tcMar>
              <w:left w:w="96" w:type="dxa"/>
              <w:right w:w="96"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Вид СУ</w:t>
            </w:r>
          </w:p>
        </w:tc>
        <w:tc>
          <w:tcPr>
            <w:tcW w:w="4365" w:type="dxa"/>
            <w:tcBorders>
              <w:top w:val="single" w:color="000000" w:sz="4"/>
              <w:left w:val="single" w:color="000000" w:sz="4"/>
              <w:bottom w:val="single" w:color="000000" w:sz="4"/>
              <w:right w:val="single" w:color="000000" w:sz="4"/>
            </w:tcBorders>
            <w:shd w:color="auto" w:fill="5b9bd5" w:val="clear"/>
            <w:tcMar>
              <w:left w:w="96" w:type="dxa"/>
              <w:right w:w="96"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потребители от други общини</w:t>
            </w:r>
          </w:p>
        </w:tc>
      </w:tr>
      <w:tr>
        <w:trPr>
          <w:trHeight w:val="221" w:hRule="auto"/>
          <w:jc w:val="left"/>
        </w:trPr>
        <w:tc>
          <w:tcPr>
            <w:tcW w:w="4695" w:type="dxa"/>
            <w:tcBorders>
              <w:top w:val="single" w:color="000000" w:sz="4"/>
              <w:left w:val="single" w:color="000000" w:sz="4"/>
              <w:bottom w:val="single" w:color="000000" w:sz="4"/>
              <w:right w:val="single" w:color="000000" w:sz="4"/>
            </w:tcBorders>
            <w:shd w:color="000000" w:fill="ffffff" w:val="clear"/>
            <w:tcMar>
              <w:left w:w="96" w:type="dxa"/>
              <w:right w:w="96"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ЦНСТДПЛФУ</w:t>
            </w:r>
          </w:p>
        </w:tc>
        <w:tc>
          <w:tcPr>
            <w:tcW w:w="4365" w:type="dxa"/>
            <w:tcBorders>
              <w:top w:val="single" w:color="000000" w:sz="4"/>
              <w:left w:val="single" w:color="000000" w:sz="4"/>
              <w:bottom w:val="single" w:color="000000" w:sz="4"/>
              <w:right w:val="single" w:color="000000" w:sz="4"/>
            </w:tcBorders>
            <w:shd w:color="000000" w:fill="ffffff" w:val="clear"/>
            <w:tcMar>
              <w:left w:w="96" w:type="dxa"/>
              <w:right w:w="96" w:type="dxa"/>
            </w:tcMar>
            <w:vAlign w:val="top"/>
          </w:tcPr>
          <w:p>
            <w:pPr>
              <w:spacing w:before="0" w:after="6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w:t>
            </w:r>
          </w:p>
        </w:tc>
      </w:tr>
    </w:tbl>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Цар Калоян за последните 5 години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Намалението на населението е един от основните лимитиращи фактори за бъдещото развитие на общината, които негативно се отразят най-вече върху работната сила и възпроизводствения потенциал на територията. Съществено влияние върху развитието на демографските процеси в общината оказват възрастова, полова, етническа и образователни структури, брачността и разводимостта, раждаемостта и смъртността, както и миграционните процеси на населението. Те влияят на формирането на човешките ресурси в общината, както в количествено, така и в качествено отношение. По брой на населението община Цар Калоян се нарежда на последно седмо място сред общините в област Разград.</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Съществуващите към настоящия момент социални услуги са обезпечени с необходимия брой специалисти и обслужващ персонал.</w:t>
      </w:r>
    </w:p>
    <w:p>
      <w:pPr>
        <w:keepNext w:val="true"/>
        <w:numPr>
          <w:ilvl w:val="0"/>
          <w:numId w:val="3594"/>
        </w:numPr>
        <w:tabs>
          <w:tab w:val="left" w:pos="718" w:leader="none"/>
        </w:tabs>
        <w:spacing w:before="360" w:after="120" w:line="240"/>
        <w:ind w:right="0" w:left="718"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АНАЛИЗ НА ПОТРЕБНОСТИТЕ В ОБЛАСТ РАЗГРАД (обобщено)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обобщени за област Разград по общини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 данни на общините от област Разград информацията за населението по критериите съгласно Наредбата за планиране на социалните услуги е получена от отдел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Статистически данни“- Разград, информационна система ГРАО на общините, Агенция за хората с увреждания, РЗИ, от Дирекции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Социално подпомагане“, Дирекции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Бюро по труда“, кметове и кметски наместници, от училища, лечебни заведения, социални услуги и др.</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Общият брой на населението на област Разград към 31.12.2021 г. е 122314 жители, от тях 19145 деца до 18-годишна възраст. Общият брой на лицата с трайни увреждания е 15908 от тях деца 642.</w:t>
      </w:r>
    </w:p>
    <w:p>
      <w:pPr>
        <w:spacing w:before="0" w:after="60" w:line="240"/>
        <w:ind w:right="0" w:left="0" w:firstLine="709"/>
        <w:jc w:val="both"/>
        <w:rPr>
          <w:rFonts w:ascii="Times New Roman" w:hAnsi="Times New Roman" w:cs="Times New Roman" w:eastAsia="Times New Roman"/>
          <w:color w:val="000000"/>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областта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Общият брои на социалните услуги на територията на област Разград е 50 с 1281 потребители. Броят на социалните услуги за пълнолетни лица е 18 с 394 потребители.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Социалните услуги за пълнолетни лица са 32 със 887 потребители.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Социалните услуги за деца са 18 с 394 потребители.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От графиките е видно, че на територията на областта преобладават услугите за резидентна грижа (ЦНСТПЛУИ, ЦНСТДБУ, ЦНСТПЛФУ, ЦНСТДМУ) - 19 услуги за 254 потребители. Консултативните услугите ЦОП, ЦСРИД и ЦСРИЛ са 9 за 286 потребители. </w:t>
        <w:tab/>
        <w:t xml:space="preserve">Услугите в домашна среда (АП) са 7 за 365 потребители, Специализирани институции за пълнолетни лица ДСХ - 2 услуги за 140 потребители.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област Разград</w:t>
      </w: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Общо 331 лица са включени в списъците на чакащите за ползване на социални услуги в териториалния обхват на област Разград. Голям е и броят на лицата за включване в </w:t>
      </w:r>
    </w:p>
    <w:tbl>
      <w:tblPr/>
      <w:tblGrid>
        <w:gridCol w:w="4037"/>
        <w:gridCol w:w="5023"/>
      </w:tblGrid>
      <w:tr>
        <w:trPr>
          <w:trHeight w:val="1" w:hRule="atLeast"/>
          <w:jc w:val="left"/>
        </w:trPr>
        <w:tc>
          <w:tcPr>
            <w:tcW w:w="403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Социална услуга</w:t>
            </w:r>
          </w:p>
        </w:tc>
        <w:tc>
          <w:tcPr>
            <w:tcW w:w="502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желаещи да ползват СУ</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Асистентска подкрепа</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278</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ДСХ</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ЦНСТПЛД</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ЦНСТПЛПР</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28</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ЦНСТПЛФУ</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ЦНСТПЛУИ</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15</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ДЦПЛУ</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ЗЖЛУИ</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графиката е представено сравнение между функциониращите към момента социални услуги, финансирани от държавния бюджет, съотнесени към социалните услуги по чл. 15 от ЗСУ, максималния брой потребители, съгласно критериите по Наредбата за планиране на социалните услуги и поетите ангажименти от общините в областта.</w:t>
      </w:r>
    </w:p>
    <w:p>
      <w:pPr>
        <w:tabs>
          <w:tab w:val="left" w:pos="1884" w:leader="none"/>
        </w:tabs>
        <w:spacing w:before="0" w:after="6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60" w:line="240"/>
        <w:ind w:right="0" w:left="0" w:firstLine="0"/>
        <w:jc w:val="both"/>
        <w:rPr>
          <w:rFonts w:ascii="Times New Roman" w:hAnsi="Times New Roman" w:cs="Times New Roman" w:eastAsia="Times New Roman"/>
          <w:i/>
          <w:color w:val="000000"/>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000000"/>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област Разград, различна от общината по настоящ адрес</w:t>
      </w:r>
    </w:p>
    <w:p>
      <w:pPr>
        <w:spacing w:before="0" w:after="60" w:line="240"/>
        <w:ind w:right="0" w:left="0" w:firstLine="709"/>
        <w:jc w:val="both"/>
        <w:rPr>
          <w:rFonts w:ascii="Times New Roman" w:hAnsi="Times New Roman" w:cs="Times New Roman" w:eastAsia="Times New Roman"/>
          <w:i/>
          <w:color w:val="000000"/>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Общият брой на лицата, които ползват социални и интегрирани здравно-социални услуги на територията на област Разград, различна от общината по настоящ адрес е 174. На голям територията на Разград социални услуги ползват потребители от Кубрат, Разград, Русе, Хитрино, Белене, Аксаково, Търговище, Шумен, Котел, Роман, Главиница и др. населени места. </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област Разград за последните 5 години</w:t>
      </w:r>
    </w:p>
    <w:p>
      <w:pPr>
        <w:spacing w:before="0" w:after="60" w:line="240"/>
        <w:ind w:right="0" w:left="0" w:firstLine="709"/>
        <w:jc w:val="both"/>
        <w:rPr>
          <w:rFonts w:ascii="Times New Roman" w:hAnsi="Times New Roman" w:cs="Times New Roman" w:eastAsia="Times New Roman"/>
          <w:color w:val="000000"/>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Анализа на данните на демографското развитие в област Разград за периода 2021 г.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2017 </w:t>
      </w:r>
      <w:r>
        <w:rPr>
          <w:rFonts w:ascii="Times New Roman" w:hAnsi="Times New Roman" w:cs="Times New Roman" w:eastAsia="Times New Roman"/>
          <w:color w:val="000000"/>
          <w:spacing w:val="0"/>
          <w:position w:val="0"/>
          <w:sz w:val="24"/>
          <w:shd w:fill="auto" w:val="clear"/>
        </w:rPr>
        <w:t xml:space="preserve">г. показва тенденция към намаление на броя на населението във всички общини.</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Във всички общини се отчита ниска раждаемост с тенденция към намаление, висока смъртност и отрицателен естествен прираст. Прогресивно намаляване на относителния дял на лицата в трудоспособна възраст. Висок е броя на хората с увреждания, както и на самотно живеещите стари хора от селата в общината с невъзможност за самообслужване.</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По-голяма част от социалните услуги в областта са обезпечени със служители, необходими за предоставянето им. Общините са използвали различни възможности за наемане на необходимите служители за извършване на дейностите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специалисти се търсят както в Дирекции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Бюра по труда“, така и на свободния пазар, като на работа се наемат и пенсионери. На база на предоставената от общините информация за заетостта на служителите в социалните услуги, се очертава тенденция за недостиг основно на медицински специалисти.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Разград</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Социалните услуги са ключов фактор за ефективно социално включване и участие в живота на обществото на всички групи лица, които имат необходимост от подкрепа. Във основа на направения анализ на състоянието на социалните услуги на територията на областта и очерталите се тенденции, могат да се направят следните изводи: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 територията на областта има голям брой социални услуги за резидентна грижа за пълнолетни лица, но броят им е недостатъчен за задоволяване на потребностите на пълнолетните лица с ментални увреждания;</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Недостатъчен е броят на социалните услуги, които се предоставят в домашна среда;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 територията на областта няма интегрирани здравно-социални услуги за деца и пълнолетни лица;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Във връзка с предстоящото разработване на Националната карта на социалните услуги, е планирано разкриване на нови социални услуги за резидентна грижа, с цел удовлетворяване на потребностите на общинско и областно ниво.</w:t>
      </w:r>
    </w:p>
    <w:p>
      <w:pPr>
        <w:keepNext w:val="true"/>
        <w:numPr>
          <w:ilvl w:val="0"/>
          <w:numId w:val="3641"/>
        </w:numPr>
        <w:tabs>
          <w:tab w:val="left" w:pos="718" w:leader="none"/>
        </w:tabs>
        <w:spacing w:before="360" w:after="120" w:line="240"/>
        <w:ind w:right="0" w:left="718" w:hanging="576"/>
        <w:jc w:val="both"/>
        <w:rPr>
          <w:rFonts w:ascii="Times New Roman" w:hAnsi="Times New Roman" w:cs="Times New Roman" w:eastAsia="Times New Roman"/>
          <w:b/>
          <w:color w:val="003366"/>
          <w:spacing w:val="0"/>
          <w:position w:val="0"/>
          <w:sz w:val="28"/>
          <w:shd w:fill="auto" w:val="clear"/>
        </w:rPr>
      </w:pPr>
      <w:r>
        <w:rPr>
          <w:rFonts w:ascii="Times New Roman" w:hAnsi="Times New Roman" w:cs="Times New Roman" w:eastAsia="Times New Roman"/>
          <w:b/>
          <w:color w:val="003366"/>
          <w:spacing w:val="0"/>
          <w:position w:val="0"/>
          <w:sz w:val="28"/>
          <w:shd w:fill="auto" w:val="clear"/>
        </w:rPr>
        <w:t xml:space="preserve">ОБЛАСТ РУСЕ</w:t>
      </w:r>
    </w:p>
    <w:p>
      <w:pPr>
        <w:keepNext w:val="true"/>
        <w:numPr>
          <w:ilvl w:val="0"/>
          <w:numId w:val="3641"/>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БОРОВО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 данни на община Борово при изготвяне на анализа е използвана информация от следните източници: Национален статистически институт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данни от Националното преброяване на населението; Гражданска дирекция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Гражданска регистрация и административно обслужване“; Дирекция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Социално подпомагане“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Бяла; Дирекция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Бюро по труда“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Бяла; социални услуги на Община Борово; РУО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Русе; собствени данни на Община Борово; Данни от Плана за интегрирано развитие на Община Борово (2021-2023 година). Не беше предоставена поискана информация относно здравния статус на населението от РЗИ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Русе.</w:t>
      </w:r>
    </w:p>
    <w:p>
      <w:pPr>
        <w:spacing w:before="0" w:after="0" w:line="240"/>
        <w:ind w:right="22"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Общият брой на населението на община Борово към 31 декември 2021 г. наброява 5512 лица, от тях 924 са деца до 18 год. възраст. Общият брой на децата до 18 год. възраст с трайни увреждания е 10.</w:t>
      </w:r>
    </w:p>
    <w:p>
      <w:pPr>
        <w:spacing w:before="0" w:after="60" w:line="24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 територията на община Борово са разкрити 8 социални услуги, от тях 4 се предоставят в гр. Борово, 4 в с. Брестовица. Общият капацитет на социалните услуги е за 201 потребители, в т.ч. 23 асистентска подкрепа.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tbl>
      <w:tblPr/>
      <w:tblGrid>
        <w:gridCol w:w="1869"/>
        <w:gridCol w:w="1306"/>
        <w:gridCol w:w="1319"/>
        <w:gridCol w:w="1942"/>
        <w:gridCol w:w="1711"/>
        <w:gridCol w:w="913"/>
      </w:tblGrid>
      <w:tr>
        <w:trPr>
          <w:trHeight w:val="1" w:hRule="atLeast"/>
          <w:jc w:val="left"/>
        </w:trPr>
        <w:tc>
          <w:tcPr>
            <w:tcW w:w="186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30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ДЦПЛУ</w:t>
            </w:r>
          </w:p>
        </w:tc>
        <w:tc>
          <w:tcPr>
            <w:tcW w:w="131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ЗЖЛУИ</w:t>
            </w:r>
          </w:p>
        </w:tc>
        <w:tc>
          <w:tcPr>
            <w:tcW w:w="194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ЦНСТПЛУИ</w:t>
            </w:r>
          </w:p>
        </w:tc>
        <w:tc>
          <w:tcPr>
            <w:tcW w:w="171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ЦНСТПЛД</w:t>
            </w:r>
          </w:p>
        </w:tc>
        <w:tc>
          <w:tcPr>
            <w:tcW w:w="91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ЦОП</w:t>
            </w:r>
          </w:p>
        </w:tc>
      </w:tr>
      <w:tr>
        <w:trPr>
          <w:trHeight w:val="1" w:hRule="atLeast"/>
          <w:jc w:val="left"/>
        </w:trPr>
        <w:tc>
          <w:tcPr>
            <w:tcW w:w="186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СУ</w:t>
            </w:r>
          </w:p>
        </w:tc>
        <w:tc>
          <w:tcPr>
            <w:tcW w:w="130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31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94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w:t>
            </w:r>
          </w:p>
        </w:tc>
        <w:tc>
          <w:tcPr>
            <w:tcW w:w="171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91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r>
      <w:tr>
        <w:trPr>
          <w:trHeight w:val="1" w:hRule="atLeast"/>
          <w:jc w:val="left"/>
        </w:trPr>
        <w:tc>
          <w:tcPr>
            <w:tcW w:w="186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потребители</w:t>
            </w:r>
          </w:p>
        </w:tc>
        <w:tc>
          <w:tcPr>
            <w:tcW w:w="130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w:t>
            </w:r>
          </w:p>
        </w:tc>
        <w:tc>
          <w:tcPr>
            <w:tcW w:w="131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w:t>
            </w:r>
          </w:p>
        </w:tc>
        <w:tc>
          <w:tcPr>
            <w:tcW w:w="194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24</w:t>
            </w:r>
          </w:p>
        </w:tc>
        <w:tc>
          <w:tcPr>
            <w:tcW w:w="171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w:t>
            </w:r>
          </w:p>
        </w:tc>
        <w:tc>
          <w:tcPr>
            <w:tcW w:w="91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40</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tbl>
      <w:tblPr/>
      <w:tblGrid>
        <w:gridCol w:w="4184"/>
        <w:gridCol w:w="3359"/>
        <w:gridCol w:w="1517"/>
      </w:tblGrid>
      <w:tr>
        <w:trPr>
          <w:trHeight w:val="1" w:hRule="atLeast"/>
          <w:jc w:val="left"/>
        </w:trPr>
        <w:tc>
          <w:tcPr>
            <w:tcW w:w="418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335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ЦСРИПЛ</w:t>
            </w:r>
          </w:p>
        </w:tc>
        <w:tc>
          <w:tcPr>
            <w:tcW w:w="151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АП</w:t>
            </w:r>
          </w:p>
        </w:tc>
      </w:tr>
      <w:tr>
        <w:trPr>
          <w:trHeight w:val="1" w:hRule="atLeast"/>
          <w:jc w:val="left"/>
        </w:trPr>
        <w:tc>
          <w:tcPr>
            <w:tcW w:w="41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СУ</w:t>
            </w:r>
          </w:p>
        </w:tc>
        <w:tc>
          <w:tcPr>
            <w:tcW w:w="335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5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r>
      <w:tr>
        <w:trPr>
          <w:trHeight w:val="1" w:hRule="atLeast"/>
          <w:jc w:val="left"/>
        </w:trPr>
        <w:tc>
          <w:tcPr>
            <w:tcW w:w="41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потребители</w:t>
            </w:r>
          </w:p>
        </w:tc>
        <w:tc>
          <w:tcPr>
            <w:tcW w:w="335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90</w:t>
            </w:r>
          </w:p>
        </w:tc>
        <w:tc>
          <w:tcPr>
            <w:tcW w:w="15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23</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Борово</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Общият брой на желаещите лица да ползват социални услуги и интегрирани здравно-социални услуги към 31.12.2022 г. по първо желание, които функционират на територията на общината е 5 лица.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 услуги: </w:t>
      </w:r>
    </w:p>
    <w:tbl>
      <w:tblPr/>
      <w:tblGrid>
        <w:gridCol w:w="4037"/>
        <w:gridCol w:w="5023"/>
      </w:tblGrid>
      <w:tr>
        <w:trPr>
          <w:trHeight w:val="1" w:hRule="atLeast"/>
          <w:jc w:val="left"/>
        </w:trPr>
        <w:tc>
          <w:tcPr>
            <w:tcW w:w="403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Социална услуга</w:t>
            </w:r>
          </w:p>
        </w:tc>
        <w:tc>
          <w:tcPr>
            <w:tcW w:w="502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желаещи да ползват СУ</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ЦНСТПЛУИ</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Асистентска подкрепа </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Борово, различна от общината по настоящ адрес.</w:t>
      </w: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Общият брой на лицата, които ползват социални услуги на територията на община Борово, от други общини е 46.</w:t>
      </w: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Вид социална услуга</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ЦНСТПЛД </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ЦНСТПЛУИ </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ЦНСТПЛУИ </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ЦСРИПЛ</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ЦОП</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29</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Борово за последните 5 години</w:t>
      </w:r>
    </w:p>
    <w:p>
      <w:pPr>
        <w:tabs>
          <w:tab w:val="left" w:pos="709" w:leader="none"/>
        </w:tabs>
        <w:suppressAutoHyphens w:val="true"/>
        <w:spacing w:before="0" w:after="60" w:line="240"/>
        <w:ind w:right="0" w:left="0" w:firstLine="0"/>
        <w:jc w:val="both"/>
        <w:rPr>
          <w:rFonts w:ascii="Times New Roman" w:hAnsi="Times New Roman" w:cs="Times New Roman" w:eastAsia="Times New Roman"/>
          <w:color w:val="000000"/>
          <w:spacing w:val="0"/>
          <w:position w:val="0"/>
          <w:sz w:val="24"/>
          <w:shd w:fill="auto" w:val="clear"/>
        </w:rPr>
      </w:pPr>
    </w:p>
    <w:p>
      <w:pPr>
        <w:tabs>
          <w:tab w:val="left" w:pos="709" w:leader="none"/>
        </w:tabs>
        <w:suppressAutoHyphens w:val="true"/>
        <w:spacing w:before="0" w:after="60" w:line="240"/>
        <w:ind w:right="0" w:left="0" w:firstLine="0"/>
        <w:jc w:val="both"/>
        <w:rPr>
          <w:rFonts w:ascii="Times New Roman" w:hAnsi="Times New Roman" w:cs="Times New Roman" w:eastAsia="Times New Roman"/>
          <w:color w:val="000000"/>
          <w:spacing w:val="0"/>
          <w:position w:val="0"/>
          <w:sz w:val="24"/>
          <w:shd w:fill="auto" w:val="clear"/>
        </w:rPr>
      </w:pP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Анализът на данните показва, че населението на община Борово застарява. Процесът на застаряване ще продължава да има негативно отражение върху сегашното и бъдещото състояние на естественото възпроизводство. В тази насока община Борово не се различава от общите тенденции в демографското развитие на България. Анализът на естественото движение на населението в община Борово за периода 2017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2021 </w:t>
      </w:r>
      <w:r>
        <w:rPr>
          <w:rFonts w:ascii="Times New Roman" w:hAnsi="Times New Roman" w:cs="Times New Roman" w:eastAsia="Times New Roman"/>
          <w:color w:val="000000"/>
          <w:spacing w:val="0"/>
          <w:position w:val="0"/>
          <w:sz w:val="24"/>
          <w:shd w:fill="auto" w:val="clear"/>
        </w:rPr>
        <w:t xml:space="preserve">г. показва отрицателен естествен прираст, който е една от най-важните причини за намаляване броя на жителите на общината. Тенденцията за изминалите години е трайна, като тази тенденция за общината е особено неблагоприятна през последните 3 години.</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tabs>
          <w:tab w:val="left" w:pos="450" w:leader="none"/>
          <w:tab w:val="left" w:pos="810" w:leader="none"/>
        </w:tabs>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Към момента в социалните услуги, функциониращи на територията на Община Борово са назначени основни специалисти, необходими за функционирането им. Има недостиг на социални работници, социален педагог/специален педагог, трудотерапевт/ ерготерапевт, медицински специалист и санитари/асистенти/сътрудник социални дейности. Незаети щатни бройки в социалните услуги на територията на община Борово са: социален работник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1; </w:t>
      </w:r>
      <w:r>
        <w:rPr>
          <w:rFonts w:ascii="Times New Roman" w:hAnsi="Times New Roman" w:cs="Times New Roman" w:eastAsia="Times New Roman"/>
          <w:color w:val="000000"/>
          <w:spacing w:val="0"/>
          <w:position w:val="0"/>
          <w:sz w:val="24"/>
          <w:shd w:fill="auto" w:val="clear"/>
        </w:rPr>
        <w:t xml:space="preserve">шофьор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1, </w:t>
      </w:r>
      <w:r>
        <w:rPr>
          <w:rFonts w:ascii="Times New Roman" w:hAnsi="Times New Roman" w:cs="Times New Roman" w:eastAsia="Times New Roman"/>
          <w:color w:val="000000"/>
          <w:spacing w:val="0"/>
          <w:position w:val="0"/>
          <w:sz w:val="24"/>
          <w:shd w:fill="auto" w:val="clear"/>
        </w:rPr>
        <w:t xml:space="preserve">хигиенист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1, </w:t>
      </w:r>
      <w:r>
        <w:rPr>
          <w:rFonts w:ascii="Times New Roman" w:hAnsi="Times New Roman" w:cs="Times New Roman" w:eastAsia="Times New Roman"/>
          <w:color w:val="000000"/>
          <w:spacing w:val="0"/>
          <w:position w:val="0"/>
          <w:sz w:val="24"/>
          <w:shd w:fill="auto" w:val="clear"/>
        </w:rPr>
        <w:t xml:space="preserve">общ работник - 0,75; 0,25 щ. бр. за психолог; 0,5 за счетоводител.</w:t>
      </w:r>
    </w:p>
    <w:p>
      <w:pPr>
        <w:keepNext w:val="true"/>
        <w:numPr>
          <w:ilvl w:val="0"/>
          <w:numId w:val="3693"/>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БЯЛА</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 данни на община Бяла информацията за населението по настоящ адрес е получена от Национален статистически институт; Гражданска дирекция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Гражданска регистрация и административно обслужване“; Дирекция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Социално подпомагане“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Бяла; Дирекция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Бюро по труда“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Бяла; Дом за стари хора - с. Бистренци, общ. Бяла, обл. Русе; Център за настаняване от семеен тип за деца и младежи без увреждания - гр. Бяла; Център за социална рехабилитация и интеграция за деца и младежи - гр. Бяла; собствени данни на Община Бяла и стратегически документи за периода 2021-2027;  Използвана е информация и са взети данни от Плана за интегрирано развитие на Община Бяла, област Русе за периода 2021-2027 година. </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Общият брой на населението на община Бяла към 31.12.2021 г. е 13022 жители, от тях 2259 деца до 18-годишна възраст. Общият брой на лицата с трайни увреждания е 958, от които децата са 38.</w:t>
      </w:r>
    </w:p>
    <w:p>
      <w:pPr>
        <w:spacing w:before="0" w:after="60" w:line="24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 територията на община Бяла са разкрити 4 социални услуги, от тях 3 са ситуирани в гр. Бяла, а 1 в с. Бистренци. Общият капацитет на социалните услуги е за 101 потребители, в т.ч. 38 асистентска подкрепа.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tbl>
      <w:tblPr/>
      <w:tblGrid>
        <w:gridCol w:w="3993"/>
        <w:gridCol w:w="971"/>
        <w:gridCol w:w="1433"/>
        <w:gridCol w:w="1897"/>
        <w:gridCol w:w="766"/>
      </w:tblGrid>
      <w:tr>
        <w:trPr>
          <w:trHeight w:val="1" w:hRule="atLeast"/>
          <w:jc w:val="left"/>
        </w:trPr>
        <w:tc>
          <w:tcPr>
            <w:tcW w:w="399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7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ДСХ</w:t>
            </w:r>
          </w:p>
        </w:tc>
        <w:tc>
          <w:tcPr>
            <w:tcW w:w="143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ЦСРИД</w:t>
            </w:r>
          </w:p>
        </w:tc>
        <w:tc>
          <w:tcPr>
            <w:tcW w:w="189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ЦНСТДБУ</w:t>
            </w:r>
          </w:p>
        </w:tc>
        <w:tc>
          <w:tcPr>
            <w:tcW w:w="76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АП</w:t>
            </w:r>
          </w:p>
        </w:tc>
      </w:tr>
      <w:tr>
        <w:trPr>
          <w:trHeight w:val="1" w:hRule="atLeast"/>
          <w:jc w:val="left"/>
        </w:trPr>
        <w:tc>
          <w:tcPr>
            <w:tcW w:w="399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СУ</w:t>
            </w:r>
          </w:p>
        </w:tc>
        <w:tc>
          <w:tcPr>
            <w:tcW w:w="97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43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9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76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r>
      <w:tr>
        <w:trPr>
          <w:trHeight w:val="1" w:hRule="atLeast"/>
          <w:jc w:val="left"/>
        </w:trPr>
        <w:tc>
          <w:tcPr>
            <w:tcW w:w="399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потребители</w:t>
            </w:r>
          </w:p>
        </w:tc>
        <w:tc>
          <w:tcPr>
            <w:tcW w:w="97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35</w:t>
            </w:r>
          </w:p>
        </w:tc>
        <w:tc>
          <w:tcPr>
            <w:tcW w:w="143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w:t>
            </w:r>
          </w:p>
        </w:tc>
        <w:tc>
          <w:tcPr>
            <w:tcW w:w="189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w:t>
            </w:r>
          </w:p>
        </w:tc>
        <w:tc>
          <w:tcPr>
            <w:tcW w:w="76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38</w:t>
            </w:r>
          </w:p>
        </w:tc>
      </w:tr>
    </w:tbl>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Бяла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Общият брой на желаещите да ползват социални услуги на територията на община Бяла са 3 лица.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 услуги: </w:t>
      </w: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Асистентска подкрепа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Бяла, различна от общината по настоящ адрес</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Общият брой на лицата, които ползват социални услуги на територията на община Бяла от други общини е 30, както следва: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Вид СУ</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ДСХ</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25</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ЦНСТДБУ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Бяла  за последните 5 години</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Демографските проблеми, характерни за цялата страна, са налице и в община Бяла, а именно: сериозно застаряване на трудоспособното население, отрицателен естествен прираст, вътрешна миграция и емиграция. На фона на бързото намаляване на общия брой на населението в общината, протичащите демографски процеси могат да доведат до значително намаляване на населението, особено в селата, като най-тежко е положението със с. Пет кладенци.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 социалните услуги на територията на община Бяла са назначени основни специалисти, необходими за функционирането им. Има недостиг на социални работници, рехабилитатор/кинезитерапевт, сътрудник социални дейности социален педагог, специален педагог/, трудотрапевт/ерготерапевт, медицински специалисти и санитари/асистенти.</w:t>
      </w:r>
    </w:p>
    <w:p>
      <w:pPr>
        <w:keepNext w:val="true"/>
        <w:numPr>
          <w:ilvl w:val="0"/>
          <w:numId w:val="3727"/>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ВЕТОВО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 данни на община Ветово за информация за целите на анализа са използвани данни за населението в община Ветово от Национален статистически институт след последно преброяване през 2021 г. Справки, предоставени от дирекция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Социално подпомагане“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Ветово, Дирекция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Бюро по труда“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Ветово. От отдели в общинска администрация Ветово, Представена е информация от общинска служба ГРАО за демографското развитие на общината за последните пет години. Има разминаване в информацията от двата официални източника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НСИ и община.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Общият брой на населението на община Ветово към 31.12.2021 г. е 15243 жители, от тях 1627 деца до 18-годишна възраст. Общият брой на лицата с трайни увреждания е 1073, от тях деца 41.</w:t>
      </w: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 територията на община Ветово са разкрити 2 социални услуги, които са локализирани на територията на гр. Ветово. Общият капацитет на социалните услуги е за 52 потребители, в т. ч. 32 асистентска подкрепа.</w:t>
      </w: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p>
    <w:tbl>
      <w:tblPr/>
      <w:tblGrid>
        <w:gridCol w:w="6659"/>
        <w:gridCol w:w="1415"/>
        <w:gridCol w:w="986"/>
      </w:tblGrid>
      <w:tr>
        <w:trPr>
          <w:trHeight w:val="1" w:hRule="atLeast"/>
          <w:jc w:val="left"/>
        </w:trPr>
        <w:tc>
          <w:tcPr>
            <w:tcW w:w="665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rFonts w:ascii="Calibri" w:hAnsi="Calibri" w:cs="Calibri" w:eastAsia="Calibri"/>
                <w:color w:val="auto"/>
                <w:spacing w:val="0"/>
                <w:position w:val="0"/>
                <w:sz w:val="22"/>
                <w:shd w:fill="auto" w:val="clear"/>
              </w:rPr>
            </w:pPr>
          </w:p>
        </w:tc>
        <w:tc>
          <w:tcPr>
            <w:tcW w:w="141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ЦОП</w:t>
            </w:r>
          </w:p>
        </w:tc>
        <w:tc>
          <w:tcPr>
            <w:tcW w:w="98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АП</w:t>
            </w:r>
          </w:p>
        </w:tc>
      </w:tr>
      <w:tr>
        <w:trPr>
          <w:trHeight w:val="1" w:hRule="atLeast"/>
          <w:jc w:val="left"/>
        </w:trPr>
        <w:tc>
          <w:tcPr>
            <w:tcW w:w="665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СУ</w:t>
            </w:r>
          </w:p>
        </w:tc>
        <w:tc>
          <w:tcPr>
            <w:tcW w:w="141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98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r>
      <w:tr>
        <w:trPr>
          <w:trHeight w:val="1" w:hRule="atLeast"/>
          <w:jc w:val="left"/>
        </w:trPr>
        <w:tc>
          <w:tcPr>
            <w:tcW w:w="665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потребители</w:t>
            </w:r>
          </w:p>
        </w:tc>
        <w:tc>
          <w:tcPr>
            <w:tcW w:w="141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w:t>
            </w:r>
          </w:p>
        </w:tc>
        <w:tc>
          <w:tcPr>
            <w:tcW w:w="98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32</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Ветово.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Ветово към 31.12.2022 г. е 3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Ветово, различна от  общината по настоящ адрес</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 територията на Община Ветово няма потребители от други общини ползващи социални услуги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Ветово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 община Ветово се наблюдава устойчива тенденция през последните пет години за намаляване на броя на изселващите се и увеличаване на броя на заселващите се в общината лица. До 2019 г. община Ветово има отрицателен механичен прираст. От 2020г. механичният прираст е положителен и има пик през 2020 г.</w:t>
      </w: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Продължават да се задълбочават негативните тенденции в изменението на възрастовата структура на населението. Налице е продължаващ процес на демографско остаряване, който се изразява в увеличаване на абсолютния брой и относителния дял на населението на възраст 65 и повече навършени години. Тенденцията на застаряване води и до промяна в основна възрастова структура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под, във и над трудоспособна възраст.</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Всички социални услуги, които функционират на територията на община Ветово, са обезпечени с необходимия брой специалисти, съгласно разписаното щатно разписание.</w:t>
      </w:r>
    </w:p>
    <w:p>
      <w:pPr>
        <w:keepNext w:val="true"/>
        <w:numPr>
          <w:ilvl w:val="0"/>
          <w:numId w:val="3751"/>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ДВЕ МОГИЛИ</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за общината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 данни на община Две могили информацията за населението по настоящ адрес е получена от: Статистически бази-данни НСИ; общинска администрация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ГРАО; Дирекция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Социално подпомагане“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Две могили; Дирекция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Бюро по труда“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Бяла; Данни, документация и експертиза от управителите на действащите социални услуги в общината; Училища и детски градини.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Общият брой на населението на община Две могили към 31.12.2021 г. е 8105 жители, от тях 1658 деца до 18-годишна възраст. Общият брой на лицата с трайни увреждания е 694, от тях деца 14.</w:t>
      </w:r>
    </w:p>
    <w:p>
      <w:pPr>
        <w:spacing w:before="0" w:after="60" w:line="24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 територията на община Две могили са разкрити 4 социални услуги, като всички се предоставят в гр. Две могили. Общият капацитет на социалните услуги е за 95 потребители, в т.ч. 30 асистентска подкрепа.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tbl>
      <w:tblPr/>
      <w:tblGrid>
        <w:gridCol w:w="4352"/>
        <w:gridCol w:w="1270"/>
        <w:gridCol w:w="890"/>
        <w:gridCol w:w="1890"/>
        <w:gridCol w:w="658"/>
      </w:tblGrid>
      <w:tr>
        <w:trPr>
          <w:trHeight w:val="1" w:hRule="atLeast"/>
          <w:jc w:val="left"/>
        </w:trPr>
        <w:tc>
          <w:tcPr>
            <w:tcW w:w="435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27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ДЦПЛУ</w:t>
            </w:r>
          </w:p>
        </w:tc>
        <w:tc>
          <w:tcPr>
            <w:tcW w:w="89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ЦОП</w:t>
            </w:r>
          </w:p>
        </w:tc>
        <w:tc>
          <w:tcPr>
            <w:tcW w:w="189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ЦНСТПЛУИ</w:t>
            </w:r>
          </w:p>
        </w:tc>
        <w:tc>
          <w:tcPr>
            <w:tcW w:w="65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АП</w:t>
            </w:r>
          </w:p>
        </w:tc>
      </w:tr>
      <w:tr>
        <w:trPr>
          <w:trHeight w:val="1" w:hRule="atLeast"/>
          <w:jc w:val="left"/>
        </w:trPr>
        <w:tc>
          <w:tcPr>
            <w:tcW w:w="43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Брой СУ</w:t>
            </w:r>
          </w:p>
        </w:tc>
        <w:tc>
          <w:tcPr>
            <w:tcW w:w="12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8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6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r>
      <w:tr>
        <w:trPr>
          <w:trHeight w:val="1" w:hRule="atLeast"/>
          <w:jc w:val="left"/>
        </w:trPr>
        <w:tc>
          <w:tcPr>
            <w:tcW w:w="43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Брой потребители</w:t>
            </w:r>
          </w:p>
        </w:tc>
        <w:tc>
          <w:tcPr>
            <w:tcW w:w="12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w:t>
            </w:r>
          </w:p>
        </w:tc>
        <w:tc>
          <w:tcPr>
            <w:tcW w:w="8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40</w:t>
            </w:r>
          </w:p>
        </w:tc>
        <w:tc>
          <w:tcPr>
            <w:tcW w:w="18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15</w:t>
            </w:r>
          </w:p>
        </w:tc>
        <w:tc>
          <w:tcPr>
            <w:tcW w:w="6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30</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Две могили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Общият брой на желаещите да ползват социални услуги на територията на община Две могили е 17 лица.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Асистентска подкрепа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17</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Две могили, различна от  общината по настоящ адрес</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Общият брой на лицата, които ползват социални услуги на територията на община Две могили от други общини е 11.</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Вид СУ</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ЦОП</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11</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Две могили за последните 5 години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Демографската картина за община Две могили, както и за цялата страна е неблагоприятна, населението е застаряващо както в резултат на естествените процеси на раждаемост и увеличаващата се смъртност, така и в резултат на протичащите миграционни процеси, които с годините нарастват. Застаряващото население се счита за относителен дял в общата численост на населението, което води до създаване на предпоставки за повишен риск от социално изключване в определена възрастова група (най-възрастните).</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60" w:line="240"/>
        <w:ind w:right="0" w:left="0" w:firstLine="0"/>
        <w:jc w:val="both"/>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Социалните услуги са обезпечени с необходимия брой персонал, с изключение на ЦНСТПЛУИ, където от необходимите 13,5 щатни бройки, а са заети 11,5.</w:t>
      </w:r>
    </w:p>
    <w:p>
      <w:pPr>
        <w:keepNext w:val="true"/>
        <w:numPr>
          <w:ilvl w:val="0"/>
          <w:numId w:val="3779"/>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ИВАНОВО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 данни на община Иваново информацията за населението по настоящ адрес е получена от Дирекция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Социално подпомагане“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гр. Две могили, Дирекция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Бюро по труда“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гр. Русе, НСИ, Общинска администрация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Иваново и др.</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Общият брой на населението на община Иваново към 31.12.2021 г. е 7651 жители, от тях 741 деца до 18-годишна възраст. Общият брой на лицата с трайни увреждания е 848, от тях деца 12.</w:t>
      </w:r>
    </w:p>
    <w:p>
      <w:pPr>
        <w:spacing w:before="0" w:after="60" w:line="240"/>
        <w:ind w:right="48" w:left="-15" w:firstLine="422"/>
        <w:jc w:val="both"/>
        <w:rPr>
          <w:rFonts w:ascii="Times New Roman" w:hAnsi="Times New Roman" w:cs="Times New Roman" w:eastAsia="Times New Roman"/>
          <w:color w:val="000000"/>
          <w:spacing w:val="0"/>
          <w:position w:val="0"/>
          <w:sz w:val="24"/>
          <w:shd w:fill="auto" w:val="clear"/>
        </w:rPr>
      </w:pPr>
    </w:p>
    <w:p>
      <w:pPr>
        <w:spacing w:before="0" w:after="60" w:line="240"/>
        <w:ind w:right="48" w:left="-15" w:firstLine="422"/>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 територията на община Иваново са разкрити 2 социални услуги Център за социална рехабилитация за лица, с. Щръклево и Асистентска подкрепа, гр. Иваново с общ брой 70 потребители, в т. ч. 38 за социална услуга Асистентска подкрепа.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tbl>
      <w:tblPr/>
      <w:tblGrid>
        <w:gridCol w:w="3841"/>
        <w:gridCol w:w="3840"/>
        <w:gridCol w:w="1379"/>
      </w:tblGrid>
      <w:tr>
        <w:trPr>
          <w:trHeight w:val="1" w:hRule="atLeast"/>
          <w:jc w:val="left"/>
        </w:trPr>
        <w:tc>
          <w:tcPr>
            <w:tcW w:w="384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384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ЦСРИЛ</w:t>
            </w:r>
          </w:p>
        </w:tc>
        <w:tc>
          <w:tcPr>
            <w:tcW w:w="137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АП</w:t>
            </w:r>
          </w:p>
        </w:tc>
      </w:tr>
      <w:tr>
        <w:trPr>
          <w:trHeight w:val="1" w:hRule="atLeast"/>
          <w:jc w:val="left"/>
        </w:trPr>
        <w:tc>
          <w:tcPr>
            <w:tcW w:w="3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СУ</w:t>
            </w:r>
          </w:p>
        </w:tc>
        <w:tc>
          <w:tcPr>
            <w:tcW w:w="384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3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r>
      <w:tr>
        <w:trPr>
          <w:trHeight w:val="1" w:hRule="atLeast"/>
          <w:jc w:val="left"/>
        </w:trPr>
        <w:tc>
          <w:tcPr>
            <w:tcW w:w="3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потребители</w:t>
            </w:r>
          </w:p>
        </w:tc>
        <w:tc>
          <w:tcPr>
            <w:tcW w:w="384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32</w:t>
            </w:r>
          </w:p>
        </w:tc>
        <w:tc>
          <w:tcPr>
            <w:tcW w:w="13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38</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Иваново</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Общият брой на желаещите да ползват социални услуги на територията на община Иваново е 3 лица.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Асистентска подкрепа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Иваново няма лица от други населени места, желаещи да ползват социални услуги.</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Иваново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Като резултат от наблюдаваното цялостно негативно демографско развитие, ситуацията на общинско ниво не е изключение от проявяващите се неблагоприятни тенденции, задълбочаващите се негативните тенденции в изменението на възрастовата структура на населението и демографско остаряване, което се изразява в увеличаване на абсолютния брой и относителния дял на населението на възраст над 65 години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Социалните услуги са обезпечени с необходимия брой персонал и специалисти. За Центъра по социална рехабилитация и интеграция предвиденият общ брой служители по щатно разписание е 7,5 бр. Към отчетния период са назначени 6,75 бр.</w:t>
      </w:r>
    </w:p>
    <w:p>
      <w:pPr>
        <w:keepNext w:val="true"/>
        <w:numPr>
          <w:ilvl w:val="0"/>
          <w:numId w:val="3803"/>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РУСЕ</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 данни на община Русе информацията за населението по настоящ адрес е получена от Институции и организации, които са източници/участници при изготвяне на анализа са следните: Община Русе, чрез дирекция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Хуманитарни дейности“ и Звено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Център за предоставяне на услуги в общността и домашна среда“ към Обединено счетоводство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Социални дейности“; Община Русе, чрез дирекция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Хуманитарни дейности“, отдел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Образование, спорт и младежки дейности“; Национална база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Население“ на Главна дирекция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Гражданска регистрация и административно обслужване“; Регионално управление на образованието; Регионална здравна инспекция Русе; Дирекция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Бюро по труда“ Русе; Дирекция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Социално подпомагане“ Русе; Териториално поделение на Национален статистически институт; Център за психично здраве Русе ЕООД; Русенски университет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Ангел Кънчев“; Неправителствени организации /НПО/, като лицензирани частни доставчици на социални и интегрирани здравно-социални услуги на територията на община Русе, възложени за управление след проведени конкурси за възлагане от кмета на община Русе, по реда на ЗСУ, стратегически документи на общинско, областно и национално ниво.</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Общият брой на населението на община Русе към 31.12.2021 г. е 151 754 жители, от тях 24 358 деца до 18-годишна възраст. Общият брой на лицата с трайни увреждания е 3 271, от тях деца 1075.</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 територията на община Русе са разкрити 42 социални услуги, като всички са локализирани в гр. Русе. Общият капацитет на социалните услуги е за 1567 потребители, в т.ч. 384 места за асистентска подкрепа и 30 за Дом за стари хора.</w:t>
      </w: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p>
    <w:tbl>
      <w:tblPr/>
      <w:tblGrid>
        <w:gridCol w:w="1626"/>
        <w:gridCol w:w="1161"/>
        <w:gridCol w:w="1495"/>
        <w:gridCol w:w="1134"/>
        <w:gridCol w:w="1531"/>
        <w:gridCol w:w="589"/>
        <w:gridCol w:w="1524"/>
      </w:tblGrid>
      <w:tr>
        <w:trPr>
          <w:trHeight w:val="274" w:hRule="auto"/>
          <w:jc w:val="left"/>
        </w:trPr>
        <w:tc>
          <w:tcPr>
            <w:tcW w:w="162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rFonts w:ascii="Calibri" w:hAnsi="Calibri" w:cs="Calibri" w:eastAsia="Calibri"/>
                <w:color w:val="auto"/>
                <w:spacing w:val="0"/>
                <w:position w:val="0"/>
                <w:sz w:val="22"/>
                <w:shd w:fill="auto" w:val="clear"/>
              </w:rPr>
            </w:pPr>
          </w:p>
        </w:tc>
        <w:tc>
          <w:tcPr>
            <w:tcW w:w="116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ДЦДМУ</w:t>
            </w:r>
          </w:p>
        </w:tc>
        <w:tc>
          <w:tcPr>
            <w:tcW w:w="149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ДЦДМУСГ</w:t>
            </w:r>
          </w:p>
        </w:tc>
        <w:tc>
          <w:tcPr>
            <w:tcW w:w="113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ДЦПЛУ</w:t>
            </w:r>
          </w:p>
        </w:tc>
        <w:tc>
          <w:tcPr>
            <w:tcW w:w="153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ДЦПЛТМУ</w:t>
            </w:r>
          </w:p>
        </w:tc>
        <w:tc>
          <w:tcPr>
            <w:tcW w:w="58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АП</w:t>
            </w:r>
          </w:p>
        </w:tc>
        <w:tc>
          <w:tcPr>
            <w:tcW w:w="152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ЦНСТДМУ</w:t>
            </w:r>
          </w:p>
        </w:tc>
      </w:tr>
      <w:tr>
        <w:trPr>
          <w:trHeight w:val="359" w:hRule="auto"/>
          <w:jc w:val="left"/>
        </w:trPr>
        <w:tc>
          <w:tcPr>
            <w:tcW w:w="162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СУ</w:t>
            </w:r>
          </w:p>
        </w:tc>
        <w:tc>
          <w:tcPr>
            <w:tcW w:w="11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w:t>
            </w:r>
          </w:p>
        </w:tc>
        <w:tc>
          <w:tcPr>
            <w:tcW w:w="14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w:t>
            </w: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w:t>
            </w:r>
          </w:p>
        </w:tc>
        <w:tc>
          <w:tcPr>
            <w:tcW w:w="15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5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5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w:t>
            </w:r>
          </w:p>
        </w:tc>
      </w:tr>
      <w:tr>
        <w:trPr>
          <w:trHeight w:val="612" w:hRule="auto"/>
          <w:jc w:val="left"/>
        </w:trPr>
        <w:tc>
          <w:tcPr>
            <w:tcW w:w="162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потребители</w:t>
            </w:r>
          </w:p>
        </w:tc>
        <w:tc>
          <w:tcPr>
            <w:tcW w:w="11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80</w:t>
            </w:r>
          </w:p>
        </w:tc>
        <w:tc>
          <w:tcPr>
            <w:tcW w:w="14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40</w:t>
            </w: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40</w:t>
            </w:r>
          </w:p>
        </w:tc>
        <w:tc>
          <w:tcPr>
            <w:tcW w:w="15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30</w:t>
            </w:r>
          </w:p>
        </w:tc>
        <w:tc>
          <w:tcPr>
            <w:tcW w:w="5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384</w:t>
            </w:r>
          </w:p>
        </w:tc>
        <w:tc>
          <w:tcPr>
            <w:tcW w:w="15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36</w:t>
            </w:r>
          </w:p>
        </w:tc>
      </w:tr>
    </w:tbl>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p>
    <w:tbl>
      <w:tblPr/>
      <w:tblGrid>
        <w:gridCol w:w="1697"/>
        <w:gridCol w:w="1337"/>
        <w:gridCol w:w="1091"/>
        <w:gridCol w:w="1089"/>
        <w:gridCol w:w="1131"/>
        <w:gridCol w:w="1093"/>
        <w:gridCol w:w="1622"/>
      </w:tblGrid>
      <w:tr>
        <w:trPr>
          <w:trHeight w:val="360" w:hRule="auto"/>
          <w:jc w:val="left"/>
        </w:trPr>
        <w:tc>
          <w:tcPr>
            <w:tcW w:w="169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rFonts w:ascii="Calibri" w:hAnsi="Calibri" w:cs="Calibri" w:eastAsia="Calibri"/>
                <w:color w:val="auto"/>
                <w:spacing w:val="0"/>
                <w:position w:val="0"/>
                <w:sz w:val="22"/>
                <w:shd w:fill="auto" w:val="clear"/>
              </w:rPr>
            </w:pPr>
          </w:p>
        </w:tc>
        <w:tc>
          <w:tcPr>
            <w:tcW w:w="133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ЦНСТМУ</w:t>
            </w:r>
          </w:p>
        </w:tc>
        <w:tc>
          <w:tcPr>
            <w:tcW w:w="109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ЦСРИД</w:t>
            </w:r>
          </w:p>
        </w:tc>
        <w:tc>
          <w:tcPr>
            <w:tcW w:w="108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ЦСРИЛ</w:t>
            </w:r>
          </w:p>
        </w:tc>
        <w:tc>
          <w:tcPr>
            <w:tcW w:w="113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ЗЖЛУИ</w:t>
            </w:r>
          </w:p>
        </w:tc>
        <w:tc>
          <w:tcPr>
            <w:tcW w:w="109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ЗЖЛПР</w:t>
            </w:r>
          </w:p>
        </w:tc>
        <w:tc>
          <w:tcPr>
            <w:tcW w:w="162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ЦНСТПЛПР</w:t>
            </w:r>
          </w:p>
        </w:tc>
      </w:tr>
      <w:tr>
        <w:trPr>
          <w:trHeight w:val="385" w:hRule="auto"/>
          <w:jc w:val="left"/>
        </w:trPr>
        <w:tc>
          <w:tcPr>
            <w:tcW w:w="169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СУ</w:t>
            </w:r>
          </w:p>
        </w:tc>
        <w:tc>
          <w:tcPr>
            <w:tcW w:w="13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w:t>
            </w:r>
          </w:p>
        </w:tc>
        <w:tc>
          <w:tcPr>
            <w:tcW w:w="10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w:t>
            </w:r>
          </w:p>
        </w:tc>
        <w:tc>
          <w:tcPr>
            <w:tcW w:w="10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w:t>
            </w:r>
          </w:p>
        </w:tc>
        <w:tc>
          <w:tcPr>
            <w:tcW w:w="11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w:t>
            </w:r>
          </w:p>
        </w:tc>
        <w:tc>
          <w:tcPr>
            <w:tcW w:w="10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w:t>
            </w:r>
          </w:p>
        </w:tc>
        <w:tc>
          <w:tcPr>
            <w:tcW w:w="16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w:t>
            </w:r>
          </w:p>
        </w:tc>
      </w:tr>
      <w:tr>
        <w:trPr>
          <w:trHeight w:val="612" w:hRule="auto"/>
          <w:jc w:val="left"/>
        </w:trPr>
        <w:tc>
          <w:tcPr>
            <w:tcW w:w="169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потребители</w:t>
            </w:r>
          </w:p>
        </w:tc>
        <w:tc>
          <w:tcPr>
            <w:tcW w:w="13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28</w:t>
            </w:r>
          </w:p>
        </w:tc>
        <w:tc>
          <w:tcPr>
            <w:tcW w:w="10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40</w:t>
            </w:r>
          </w:p>
        </w:tc>
        <w:tc>
          <w:tcPr>
            <w:tcW w:w="10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100</w:t>
            </w:r>
          </w:p>
        </w:tc>
        <w:tc>
          <w:tcPr>
            <w:tcW w:w="11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22 </w:t>
            </w:r>
          </w:p>
        </w:tc>
        <w:tc>
          <w:tcPr>
            <w:tcW w:w="10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16</w:t>
            </w:r>
          </w:p>
        </w:tc>
        <w:tc>
          <w:tcPr>
            <w:tcW w:w="16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54</w:t>
            </w:r>
          </w:p>
        </w:tc>
      </w:tr>
    </w:tbl>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p>
    <w:tbl>
      <w:tblPr/>
      <w:tblGrid>
        <w:gridCol w:w="1731"/>
        <w:gridCol w:w="2444"/>
        <w:gridCol w:w="1549"/>
        <w:gridCol w:w="971"/>
        <w:gridCol w:w="725"/>
        <w:gridCol w:w="823"/>
        <w:gridCol w:w="817"/>
      </w:tblGrid>
      <w:tr>
        <w:trPr>
          <w:trHeight w:val="1" w:hRule="atLeast"/>
          <w:jc w:val="left"/>
        </w:trPr>
        <w:tc>
          <w:tcPr>
            <w:tcW w:w="173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rFonts w:ascii="Calibri" w:hAnsi="Calibri" w:cs="Calibri" w:eastAsia="Calibri"/>
                <w:color w:val="auto"/>
                <w:spacing w:val="0"/>
                <w:position w:val="0"/>
                <w:sz w:val="22"/>
                <w:shd w:fill="auto" w:val="clear"/>
              </w:rPr>
            </w:pPr>
          </w:p>
        </w:tc>
        <w:tc>
          <w:tcPr>
            <w:tcW w:w="244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ЦНСТДМУППМГ</w:t>
            </w:r>
          </w:p>
        </w:tc>
        <w:tc>
          <w:tcPr>
            <w:tcW w:w="154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ЦНСТДБУ</w:t>
            </w:r>
          </w:p>
        </w:tc>
        <w:tc>
          <w:tcPr>
            <w:tcW w:w="97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ЦРДУ</w:t>
            </w:r>
          </w:p>
        </w:tc>
        <w:tc>
          <w:tcPr>
            <w:tcW w:w="72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ЗмБ</w:t>
            </w:r>
          </w:p>
        </w:tc>
        <w:tc>
          <w:tcPr>
            <w:tcW w:w="82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КЦЛ</w:t>
            </w:r>
          </w:p>
        </w:tc>
        <w:tc>
          <w:tcPr>
            <w:tcW w:w="81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ЦВН</w:t>
            </w:r>
          </w:p>
        </w:tc>
      </w:tr>
      <w:tr>
        <w:trPr>
          <w:trHeight w:val="1" w:hRule="atLeast"/>
          <w:jc w:val="left"/>
        </w:trPr>
        <w:tc>
          <w:tcPr>
            <w:tcW w:w="173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СУ</w:t>
            </w:r>
          </w:p>
        </w:tc>
        <w:tc>
          <w:tcPr>
            <w:tcW w:w="244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54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97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w:t>
            </w:r>
          </w:p>
        </w:tc>
        <w:tc>
          <w:tcPr>
            <w:tcW w:w="7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8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8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r>
      <w:tr>
        <w:trPr>
          <w:trHeight w:val="1" w:hRule="atLeast"/>
          <w:jc w:val="left"/>
        </w:trPr>
        <w:tc>
          <w:tcPr>
            <w:tcW w:w="173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потребители</w:t>
            </w:r>
          </w:p>
        </w:tc>
        <w:tc>
          <w:tcPr>
            <w:tcW w:w="244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w:t>
            </w:r>
          </w:p>
        </w:tc>
        <w:tc>
          <w:tcPr>
            <w:tcW w:w="154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w:t>
            </w:r>
          </w:p>
        </w:tc>
        <w:tc>
          <w:tcPr>
            <w:tcW w:w="97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30</w:t>
            </w:r>
          </w:p>
        </w:tc>
        <w:tc>
          <w:tcPr>
            <w:tcW w:w="7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w:t>
            </w:r>
          </w:p>
        </w:tc>
        <w:tc>
          <w:tcPr>
            <w:tcW w:w="8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w:t>
            </w:r>
          </w:p>
        </w:tc>
        <w:tc>
          <w:tcPr>
            <w:tcW w:w="8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60</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tbl>
      <w:tblPr/>
      <w:tblGrid>
        <w:gridCol w:w="2848"/>
        <w:gridCol w:w="1923"/>
        <w:gridCol w:w="1910"/>
        <w:gridCol w:w="2379"/>
      </w:tblGrid>
      <w:tr>
        <w:trPr>
          <w:trHeight w:val="1" w:hRule="atLeast"/>
          <w:jc w:val="left"/>
        </w:trPr>
        <w:tc>
          <w:tcPr>
            <w:tcW w:w="284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rFonts w:ascii="Calibri" w:hAnsi="Calibri" w:cs="Calibri" w:eastAsia="Calibri"/>
                <w:color w:val="auto"/>
                <w:spacing w:val="0"/>
                <w:position w:val="0"/>
                <w:sz w:val="22"/>
                <w:shd w:fill="auto" w:val="clear"/>
              </w:rPr>
            </w:pPr>
          </w:p>
        </w:tc>
        <w:tc>
          <w:tcPr>
            <w:tcW w:w="192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КЦД</w:t>
            </w:r>
          </w:p>
        </w:tc>
        <w:tc>
          <w:tcPr>
            <w:tcW w:w="191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ЦОП</w:t>
            </w:r>
          </w:p>
        </w:tc>
        <w:tc>
          <w:tcPr>
            <w:tcW w:w="237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ДСХ</w:t>
            </w:r>
          </w:p>
        </w:tc>
      </w:tr>
      <w:tr>
        <w:trPr>
          <w:trHeight w:val="1" w:hRule="atLeast"/>
          <w:jc w:val="left"/>
        </w:trPr>
        <w:tc>
          <w:tcPr>
            <w:tcW w:w="28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СУ</w:t>
            </w:r>
          </w:p>
        </w:tc>
        <w:tc>
          <w:tcPr>
            <w:tcW w:w="19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9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w:t>
            </w:r>
          </w:p>
        </w:tc>
        <w:tc>
          <w:tcPr>
            <w:tcW w:w="23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r>
      <w:tr>
        <w:trPr>
          <w:trHeight w:val="1" w:hRule="atLeast"/>
          <w:jc w:val="left"/>
        </w:trPr>
        <w:tc>
          <w:tcPr>
            <w:tcW w:w="28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потребители</w:t>
            </w:r>
          </w:p>
        </w:tc>
        <w:tc>
          <w:tcPr>
            <w:tcW w:w="19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16</w:t>
            </w:r>
          </w:p>
        </w:tc>
        <w:tc>
          <w:tcPr>
            <w:tcW w:w="19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125</w:t>
            </w:r>
          </w:p>
        </w:tc>
        <w:tc>
          <w:tcPr>
            <w:tcW w:w="23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234</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Русе.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Русе към 31.12.2022 г. в Интегрираната информационна системата (ИИС) на АСП са регистрирани общо 425 бр. пълнолетни лица по първо желание от община Русе.</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ЦНСТПЛПР</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103</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ДСХ</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165</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Асистентска подкрепа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130</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ЗЖЛПР</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ЗЖЛУИ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Русе, различна от  общината по настоящ адрес</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tbl>
      <w:tblPr/>
      <w:tblGrid>
        <w:gridCol w:w="4247"/>
        <w:gridCol w:w="4813"/>
      </w:tblGrid>
      <w:tr>
        <w:trPr>
          <w:trHeight w:val="144" w:hRule="auto"/>
          <w:jc w:val="left"/>
        </w:trPr>
        <w:tc>
          <w:tcPr>
            <w:tcW w:w="424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Вид СУ</w:t>
            </w:r>
          </w:p>
        </w:tc>
        <w:tc>
          <w:tcPr>
            <w:tcW w:w="481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потребители от други общини</w:t>
            </w:r>
          </w:p>
        </w:tc>
      </w:tr>
      <w:tr>
        <w:trPr>
          <w:trHeight w:val="144" w:hRule="auto"/>
          <w:jc w:val="left"/>
        </w:trPr>
        <w:tc>
          <w:tcPr>
            <w:tcW w:w="42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ДЦДМУСГ</w:t>
            </w:r>
          </w:p>
        </w:tc>
        <w:tc>
          <w:tcPr>
            <w:tcW w:w="48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w:t>
            </w:r>
          </w:p>
        </w:tc>
      </w:tr>
      <w:tr>
        <w:trPr>
          <w:trHeight w:val="144" w:hRule="auto"/>
          <w:jc w:val="left"/>
        </w:trPr>
        <w:tc>
          <w:tcPr>
            <w:tcW w:w="42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ДЦДМУ</w:t>
            </w:r>
          </w:p>
        </w:tc>
        <w:tc>
          <w:tcPr>
            <w:tcW w:w="48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w:t>
            </w:r>
          </w:p>
        </w:tc>
      </w:tr>
      <w:tr>
        <w:trPr>
          <w:trHeight w:val="144" w:hRule="auto"/>
          <w:jc w:val="left"/>
        </w:trPr>
        <w:tc>
          <w:tcPr>
            <w:tcW w:w="42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ДСХ</w:t>
            </w:r>
          </w:p>
        </w:tc>
        <w:tc>
          <w:tcPr>
            <w:tcW w:w="48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25</w:t>
            </w:r>
          </w:p>
        </w:tc>
      </w:tr>
      <w:tr>
        <w:trPr>
          <w:trHeight w:val="144" w:hRule="auto"/>
          <w:jc w:val="left"/>
        </w:trPr>
        <w:tc>
          <w:tcPr>
            <w:tcW w:w="42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ЦНСТПЛПР</w:t>
            </w:r>
          </w:p>
        </w:tc>
        <w:tc>
          <w:tcPr>
            <w:tcW w:w="48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w:t>
            </w:r>
          </w:p>
        </w:tc>
      </w:tr>
      <w:tr>
        <w:trPr>
          <w:trHeight w:val="144" w:hRule="auto"/>
          <w:jc w:val="left"/>
        </w:trPr>
        <w:tc>
          <w:tcPr>
            <w:tcW w:w="42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ЗЖЛПР</w:t>
            </w:r>
          </w:p>
        </w:tc>
        <w:tc>
          <w:tcPr>
            <w:tcW w:w="48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42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ЦНСТДМУ</w:t>
            </w:r>
          </w:p>
        </w:tc>
        <w:tc>
          <w:tcPr>
            <w:tcW w:w="48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w:t>
            </w:r>
          </w:p>
        </w:tc>
      </w:tr>
      <w:tr>
        <w:trPr>
          <w:trHeight w:val="144" w:hRule="auto"/>
          <w:jc w:val="left"/>
        </w:trPr>
        <w:tc>
          <w:tcPr>
            <w:tcW w:w="42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ЦНСТМУ</w:t>
            </w:r>
          </w:p>
        </w:tc>
        <w:tc>
          <w:tcPr>
            <w:tcW w:w="48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22</w:t>
            </w:r>
          </w:p>
        </w:tc>
      </w:tr>
      <w:tr>
        <w:trPr>
          <w:trHeight w:val="144" w:hRule="auto"/>
          <w:jc w:val="left"/>
        </w:trPr>
        <w:tc>
          <w:tcPr>
            <w:tcW w:w="42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ЦНСТДМУППМГ</w:t>
            </w:r>
          </w:p>
        </w:tc>
        <w:tc>
          <w:tcPr>
            <w:tcW w:w="48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w:t>
            </w:r>
          </w:p>
        </w:tc>
      </w:tr>
      <w:tr>
        <w:trPr>
          <w:trHeight w:val="144" w:hRule="auto"/>
          <w:jc w:val="left"/>
        </w:trPr>
        <w:tc>
          <w:tcPr>
            <w:tcW w:w="42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КЦ</w:t>
            </w:r>
          </w:p>
        </w:tc>
        <w:tc>
          <w:tcPr>
            <w:tcW w:w="48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42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ЦОП</w:t>
            </w:r>
          </w:p>
        </w:tc>
        <w:tc>
          <w:tcPr>
            <w:tcW w:w="48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w:t>
            </w:r>
          </w:p>
        </w:tc>
      </w:tr>
      <w:tr>
        <w:trPr>
          <w:trHeight w:val="144" w:hRule="auto"/>
          <w:jc w:val="left"/>
        </w:trPr>
        <w:tc>
          <w:tcPr>
            <w:tcW w:w="42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ЦРДУ</w:t>
            </w:r>
          </w:p>
        </w:tc>
        <w:tc>
          <w:tcPr>
            <w:tcW w:w="48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w:t>
            </w:r>
          </w:p>
        </w:tc>
      </w:tr>
      <w:tr>
        <w:trPr>
          <w:trHeight w:val="144" w:hRule="auto"/>
          <w:jc w:val="left"/>
        </w:trPr>
        <w:tc>
          <w:tcPr>
            <w:tcW w:w="42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ЗмБ</w:t>
            </w:r>
          </w:p>
        </w:tc>
        <w:tc>
          <w:tcPr>
            <w:tcW w:w="48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w:t>
            </w:r>
          </w:p>
        </w:tc>
      </w:tr>
      <w:tr>
        <w:trPr>
          <w:trHeight w:val="144" w:hRule="auto"/>
          <w:jc w:val="left"/>
        </w:trPr>
        <w:tc>
          <w:tcPr>
            <w:tcW w:w="42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ЦВН</w:t>
            </w:r>
          </w:p>
        </w:tc>
        <w:tc>
          <w:tcPr>
            <w:tcW w:w="48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w:t>
            </w:r>
          </w:p>
        </w:tc>
      </w:tr>
    </w:tbl>
    <w:p>
      <w:pPr>
        <w:spacing w:before="0" w:after="60" w:line="240"/>
        <w:ind w:right="0" w:left="0" w:firstLine="0"/>
        <w:jc w:val="left"/>
        <w:rPr>
          <w:rFonts w:ascii="Times New Roman" w:hAnsi="Times New Roman" w:cs="Times New Roman" w:eastAsia="Times New Roman"/>
          <w:b/>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Русе за последните 5 години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Информацията за демографското развитите на населението на територията на община Русе е предоставена от  териториалната структура на Националния статистически институт - Русе и обхваща данни за последните 5 години. </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През последните години се забелязва повишаване миграционния процес сред населението, особено в селските, малки населени места на територията на община Русе, предвид липсата на работни места, закриването на учебни и детски заведения. Като проблем се очертават и самотно живеещите възрастни хора, в невъзможност от самообслужване, не само в малките населени места, но и в гр. Русе. Тези лица са често с хронични заболявания, трудно подвижни и се нуждаят от грижи и подкрепа от близки, които реално са извън населеното място и са обект на социалните услуги. </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60" w:line="240"/>
        <w:ind w:right="23"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Във всички функциониращи услуги, служителите извършващи дейности са назначени, съгласно утвърдено щатно разписание за съответната услуга и стандартите за качество, съгласно Наредбата за качество на социалните услуги. Не във всички социални услуги и интегрираните здравно-социални услуги са назначени служители, пряко ангажирани с обслужването на потребителите, предвид спецификата на предлаганата услуга. Съществен е проблемът с възрастовия показател на човешкия ресурс в социалните услуги. Прави впечатление, че част от наетите служители в социални услуги и в интегрираните здравно-социални услуги са в предпенсионна възраст и/или пенсионна възраст. Община Русе подкрепя служителите в социалните услуги и интегрираните здравно-социални услуги, чрез провеждане на поддържащи обучения, супервизии и работни срещи, насочени към повишаване на професионалните умения и подобряване качеството на грижа спрямо потребителите.</w:t>
      </w:r>
    </w:p>
    <w:p>
      <w:pPr>
        <w:tabs>
          <w:tab w:val="left" w:pos="450" w:leader="none"/>
          <w:tab w:val="left" w:pos="810" w:leader="none"/>
        </w:tabs>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От анализа на данните за незаети щатни бройки в социалните услуги на територията на община Русе, се установи следното: ДЦДМУ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незаети са 4,25 щатни бройки за - 1 детегледачка, 1 медицинска сестра, 1 ерготерапевт, 1 друг вид персонал и 0,25 психолог; ДЦДМУ-СГ - 1 незаета щатна бройка за социален работник; ЦСРИДМ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незаети 2,25 щатни бройки за - 1,25 социален работник, 0,5 кинезитерапевт и  0,5 логопед; ЦСРИДМ - незаета 1 щатна бройка за специалист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социални дейности“; ЦОП -  незаета 1,5 щатна бройка за специалист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социални дейности“; ЦНСТДБУ - незаета 1 щатна бройка за специалист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социални дейности“; ЦНСДМУ - незаета 1,5 щатна бройка за 0,5 социален работник и 1 за психолог; ЦНСТДППМГ- незаети 2 щатни бройки за 1 психолог и за 1 детегледач; ЦНСТПЛПР - незаети 4,5 щатни бройки за - 0,5 трудотрапевт, 3 детегледачи и 1 брой други служители; КЦ за деца - незаети 7 щатни бройки за - 5 специалисти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социални дейности“, 1 социален работник и 1 медицинска сестра; ЗМБ - незает 0,5 щат; ЗЖЛУИ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незает щат за 0,5 социален работник; ДСХ - незаети щатни 4 бройки за 1 медицинска сестра и 2-ма санитари. Най-търсени специалисти са - социален работник специалист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социални дейности“, следвани от медицински сестри, психолог, ерготерапевт, трудотрапевт и логопед. Липсата на кадри е осезаема и за структурите на общинска администрация.</w:t>
      </w:r>
    </w:p>
    <w:p>
      <w:pPr>
        <w:keepNext w:val="true"/>
        <w:numPr>
          <w:ilvl w:val="0"/>
          <w:numId w:val="3898"/>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СЛИВО ПОЛЕ</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При изготвянето на анализа са използвани официални източници на информация Статистически бази-данни, редовно събирани и актуализирани от: НСИ, АЗ, ГРАО; Обобщена информация от преброяване на населението от Националният статистически институт  през 2021 г.; Органи, които по силата на закон имат право да събират и администрират съответните данни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ДСП-Русе, ДБТ-Русе, Териториални поделения на НОИ; Общинска администрация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ГРАО и отделите, отговорни за социални, образователни и хуманитарни дейности и др., институции на общинско ниво; Дирекция “Регионална служба по заетостта”- гр. Русе; проведено проучване от община Сливо поле, специално за целите на изготвяне на Анализ на потребностите от социални услуги; Данни, документация и експертиза на доставчиците на услуги за действащите социални услуги в община Сливо поле; граждански организации и НПО.</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Общият брой на населението на община Сливо поле към 31.12.2021 г. е 11107 жители, от тях 1685 деца до 18-годишна възраст. Общият брой на лицата с трайни увреждания е 902, от тях 20 са деца до 18-годишна възраст.</w:t>
      </w: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 територията на община Сливо поле са разкрити 3 социални услуги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Център за На територията на община Сливо поле са разкрити 3 социални услуги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Център за социална рехабилитация и интеграция за лица (ЦСРИЛ), Дневен център за деца и младежи с увреждания (ДЦДМУ) и Асистентска подкрепа. Две от социалните услуги - ЦСРИ и Асистентска подкрепа са с адрес в с. Ряхово, а ДЦДМУ в гр. Сливо поле. Общият капацитет на социалните услуги е за 87 потребители, в т.ч. 32 асистентска подкрепа. </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tbl>
      <w:tblPr/>
      <w:tblGrid>
        <w:gridCol w:w="3277"/>
        <w:gridCol w:w="2249"/>
        <w:gridCol w:w="2345"/>
        <w:gridCol w:w="1189"/>
      </w:tblGrid>
      <w:tr>
        <w:trPr>
          <w:trHeight w:val="1" w:hRule="atLeast"/>
          <w:jc w:val="left"/>
        </w:trPr>
        <w:tc>
          <w:tcPr>
            <w:tcW w:w="327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rFonts w:ascii="Calibri" w:hAnsi="Calibri" w:cs="Calibri" w:eastAsia="Calibri"/>
                <w:color w:val="auto"/>
                <w:spacing w:val="0"/>
                <w:position w:val="0"/>
                <w:sz w:val="22"/>
                <w:shd w:fill="auto" w:val="clear"/>
              </w:rPr>
            </w:pPr>
          </w:p>
        </w:tc>
        <w:tc>
          <w:tcPr>
            <w:tcW w:w="224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ЦСРИЛ</w:t>
            </w:r>
          </w:p>
        </w:tc>
        <w:tc>
          <w:tcPr>
            <w:tcW w:w="234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ДЦДМУ</w:t>
            </w:r>
          </w:p>
        </w:tc>
        <w:tc>
          <w:tcPr>
            <w:tcW w:w="118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АП</w:t>
            </w:r>
          </w:p>
        </w:tc>
      </w:tr>
      <w:tr>
        <w:trPr>
          <w:trHeight w:val="1" w:hRule="atLeast"/>
          <w:jc w:val="left"/>
        </w:trPr>
        <w:tc>
          <w:tcPr>
            <w:tcW w:w="327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СУ</w:t>
            </w:r>
          </w:p>
        </w:tc>
        <w:tc>
          <w:tcPr>
            <w:tcW w:w="22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234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1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r>
      <w:tr>
        <w:trPr>
          <w:trHeight w:val="1" w:hRule="atLeast"/>
          <w:jc w:val="left"/>
        </w:trPr>
        <w:tc>
          <w:tcPr>
            <w:tcW w:w="327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потребители</w:t>
            </w:r>
          </w:p>
        </w:tc>
        <w:tc>
          <w:tcPr>
            <w:tcW w:w="22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35</w:t>
            </w:r>
          </w:p>
        </w:tc>
        <w:tc>
          <w:tcPr>
            <w:tcW w:w="234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w:t>
            </w:r>
          </w:p>
        </w:tc>
        <w:tc>
          <w:tcPr>
            <w:tcW w:w="11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32</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Сливо поле</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Общият брой на желаещите да ползват социални услуги към 31.12.2022 г. на територията на община Сливо поле е 2 лица, като чакащите са за социална услуга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Асистентска подкрепа“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Асистентска подкрепа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Сливо поле, различна от общината по настоящ адрес</w:t>
      </w: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 социалните услуги, предоставяни в община Сливо поле не се обслужват потребители от други общини.</w:t>
      </w: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Сливо поле за последните 5 години</w:t>
      </w: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Населението на територията на община Сливо поле, бележи тенденция на спад в абсолютния брой. Основните причини са отрицателния естествен прираст и вътрешната миграция. Основна причина за миграцията е липсата на професионална реализация на територията на общината, независимо от ниската безработица. Влошена е възрастовата структура в селата на общината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тя е от регресивен тип: нарастват броят и делът на възрастното население и намаляват този на младите генерации. Силно завишен е делът на лицата в надтрудоспособна възраст, което показва застаряване на населението и влошени демографски показатели по отношение на възпроизводството му. Увеличава се делът на хората, търсещи услугите на мрежата за социална защита.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 настоящия момент проблемът с кадрите в социалните услуги, предоставяни на територията на Община Сливо поле е решен. За ДЦДПУ - Сливо поле е необходимо да се направи промяна на щатното разписание въз основа на стандартите по НКСУ, т. к. наличният персонал към настоящия момент не е достатъчен за да се изпълняват услугите по чл. 15 в пълен обем. Налична е свободна позицията за медицинска сестра в ЦСРИ - с. Ряхово.</w:t>
      </w:r>
    </w:p>
    <w:p>
      <w:pPr>
        <w:keepNext w:val="true"/>
        <w:numPr>
          <w:ilvl w:val="0"/>
          <w:numId w:val="3922"/>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ЦЕНОВО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За част от данните в анализа са ползвани официално публикувани данни в интернет страницата на Националния статистически институт. Използвана е информация, касаеща демографската обстановка и информация за наличната социална, образователна и здравна инфраструктура от Плана за интегрирано развитие на Община Ценово (2021-2027), както и официална информация, съхранявана в общината, данни от Дирекция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Социално подпомагане“, гр. Бяла, данни от локална база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Население“ към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ГРАО“, данни от обобщени справки от кметства. </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Общият брой на населението на Община Ценово към 31.12.2022 г. е 4903 жители, от тях 611 деца до 18-годишна възраст (12,46%). Общия брой на лицата с трайни увреждания е 444, от тях деца 10 (2,25%).</w:t>
      </w: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 територията на община Ценово се предоставят 3 броя социални услуги: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tbl>
      <w:tblPr/>
      <w:tblGrid>
        <w:gridCol w:w="4947"/>
        <w:gridCol w:w="1854"/>
        <w:gridCol w:w="1297"/>
        <w:gridCol w:w="962"/>
      </w:tblGrid>
      <w:tr>
        <w:trPr>
          <w:trHeight w:val="1" w:hRule="atLeast"/>
          <w:jc w:val="left"/>
        </w:trPr>
        <w:tc>
          <w:tcPr>
            <w:tcW w:w="494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85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ДЦПЛУ</w:t>
            </w:r>
          </w:p>
        </w:tc>
        <w:tc>
          <w:tcPr>
            <w:tcW w:w="129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ЦОП</w:t>
            </w:r>
          </w:p>
        </w:tc>
        <w:tc>
          <w:tcPr>
            <w:tcW w:w="96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АП</w:t>
            </w:r>
          </w:p>
        </w:tc>
      </w:tr>
      <w:tr>
        <w:trPr>
          <w:trHeight w:val="1" w:hRule="atLeast"/>
          <w:jc w:val="left"/>
        </w:trPr>
        <w:tc>
          <w:tcPr>
            <w:tcW w:w="494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СУ</w:t>
            </w:r>
          </w:p>
        </w:tc>
        <w:tc>
          <w:tcPr>
            <w:tcW w:w="18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29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9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r>
      <w:tr>
        <w:trPr>
          <w:trHeight w:val="1" w:hRule="atLeast"/>
          <w:jc w:val="left"/>
        </w:trPr>
        <w:tc>
          <w:tcPr>
            <w:tcW w:w="494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потребители</w:t>
            </w:r>
          </w:p>
        </w:tc>
        <w:tc>
          <w:tcPr>
            <w:tcW w:w="18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w:t>
            </w:r>
          </w:p>
        </w:tc>
        <w:tc>
          <w:tcPr>
            <w:tcW w:w="129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w:t>
            </w:r>
          </w:p>
        </w:tc>
        <w:tc>
          <w:tcPr>
            <w:tcW w:w="9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Ценово</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Към 31.12.2022 г. желаещите да ползват социални услуги на територията на община Ценово са 3 (трима), които желаят да ползват социална услуга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Асистентска подкрепа“.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tbl>
      <w:tblPr/>
      <w:tblGrid>
        <w:gridCol w:w="2497"/>
        <w:gridCol w:w="6563"/>
      </w:tblGrid>
      <w:tr>
        <w:trPr>
          <w:trHeight w:val="1" w:hRule="atLeast"/>
          <w:jc w:val="left"/>
        </w:trPr>
        <w:tc>
          <w:tcPr>
            <w:tcW w:w="249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Социална услуга</w:t>
            </w:r>
          </w:p>
        </w:tc>
        <w:tc>
          <w:tcPr>
            <w:tcW w:w="656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желаещи да ползват СУ</w:t>
            </w:r>
          </w:p>
        </w:tc>
      </w:tr>
      <w:tr>
        <w:trPr>
          <w:trHeight w:val="1" w:hRule="atLeast"/>
          <w:jc w:val="left"/>
        </w:trPr>
        <w:tc>
          <w:tcPr>
            <w:tcW w:w="249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АП</w:t>
            </w:r>
          </w:p>
        </w:tc>
        <w:tc>
          <w:tcPr>
            <w:tcW w:w="656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Ценово, различна от  общината по настоящ адрес</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Броят на потребителите от други общини, които ползват социални услуги на територията на община Ценово е 19.</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tbl>
      <w:tblPr/>
      <w:tblGrid>
        <w:gridCol w:w="3383"/>
        <w:gridCol w:w="5677"/>
      </w:tblGrid>
      <w:tr>
        <w:trPr>
          <w:trHeight w:val="242" w:hRule="auto"/>
          <w:jc w:val="left"/>
        </w:trPr>
        <w:tc>
          <w:tcPr>
            <w:tcW w:w="338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Социална услуга</w:t>
            </w:r>
          </w:p>
        </w:tc>
        <w:tc>
          <w:tcPr>
            <w:tcW w:w="567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потребители от други общини</w:t>
            </w:r>
          </w:p>
        </w:tc>
      </w:tr>
      <w:tr>
        <w:trPr>
          <w:trHeight w:val="1" w:hRule="atLeast"/>
          <w:jc w:val="left"/>
        </w:trPr>
        <w:tc>
          <w:tcPr>
            <w:tcW w:w="338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ЦОП</w:t>
            </w:r>
          </w:p>
        </w:tc>
        <w:tc>
          <w:tcPr>
            <w:tcW w:w="567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19</w:t>
            </w:r>
          </w:p>
        </w:tc>
      </w:tr>
    </w:tbl>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Ценово за последните 5 години</w:t>
      </w: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91"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Общата тенденция е на застаряване на населението на община Ценово. Въз основа на статистическите данни, възрастовата структура на населението в община Ценово се определя като изключително неблагоприятна за бъдещото демографско развитие на общината. Населението в трудоспособна възраст се очаква да намалява главно за сметка на възрастното поколение. Демографските процеси в община Ценово следват тези в страната, региона, областта. В сравнение с данните от предходното преброяване населението на община Ценово намалява от 5923 през 2011г. на 4350 през 2021 г. или с 26,56%.</w:t>
      </w:r>
    </w:p>
    <w:p>
      <w:pPr>
        <w:spacing w:before="0" w:after="0" w:line="240"/>
        <w:ind w:right="0" w:left="-91"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91"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91"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Социалните услуги са обезпечени с необходимите кадри. Незаети са 0,5 щ. бр.-мед. сестра и 0,5 бр. рехабилитатор. На територията на община Ценово се наблюдава тенденция за увеличаване нуждата от специалисти в областта на социалните дейности и липса на медицински кадри.</w:t>
      </w:r>
    </w:p>
    <w:p>
      <w:pPr>
        <w:keepNext w:val="true"/>
        <w:numPr>
          <w:ilvl w:val="0"/>
          <w:numId w:val="3951"/>
        </w:numPr>
        <w:tabs>
          <w:tab w:val="left" w:pos="718" w:leader="none"/>
        </w:tabs>
        <w:spacing w:before="360" w:after="120" w:line="240"/>
        <w:ind w:right="0" w:left="718" w:hanging="576"/>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АНАЛИЗ НА ПОТРЕБНОСТИТЕ В ОБЛАСТ РУСЕ (обобщено)</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обобщени за област Русе по общини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 данни на общините от област Русе информацията за населението критериите съгласно Наредбата за планиране на социалните услуги е получена от отдел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Статистически данни“- Русе към ТСБ Северозапад, информационна система ГРАО на общините, Агенция за хората с увреждания, РЗИ, от Дирекция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Социално подпомагане“ от Дирекция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Бюро по труда“, НСИ, Общински служби, кметове и кметски наместници, от Български червен кръст по проект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Център за домашни грижи”, училища, лечебни заведения, социални услуги и др.</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Общият брой на населението на област Русе към 31.12.2021 г. е 217 297 жители, от тях 33 863 деца до 18-годишна възраст. Общият брой на лицата с трайни увреждания е 18 373, от тях деца 1220.</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областта</w:t>
      </w: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Общият брои на социалните услуги на територията на област Русе е 68 с 2 223 потребители. Броят на социалните услуги за пълнолетни лица е 39 с 1436 потребители. </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за деца са 27 с 585 потребители.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От графиките е видно, че на територията на областта преобладават консултативните услуги за деца и пълнолетни лица в общността (ЦОП, ЦСРИД, ЦСРИЛ, ДЦДМУ, ДЦПЛУ), общо 23 услуги за 632 потребители, следвани от социалните услуги за резидентна грижа (ЗЖЛУИ, ЦНСТПЛПР, ЦНСТПЛУИ, ЦНСТДМУ)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14 </w:t>
      </w:r>
      <w:r>
        <w:rPr>
          <w:rFonts w:ascii="Times New Roman" w:hAnsi="Times New Roman" w:cs="Times New Roman" w:eastAsia="Times New Roman"/>
          <w:color w:val="000000"/>
          <w:spacing w:val="0"/>
          <w:position w:val="0"/>
          <w:sz w:val="24"/>
          <w:shd w:fill="auto" w:val="clear"/>
        </w:rPr>
        <w:t xml:space="preserve">услуги за 151 потребители. Услугите в домашна среда (АП)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8 </w:t>
      </w:r>
      <w:r>
        <w:rPr>
          <w:rFonts w:ascii="Times New Roman" w:hAnsi="Times New Roman" w:cs="Times New Roman" w:eastAsia="Times New Roman"/>
          <w:color w:val="000000"/>
          <w:spacing w:val="0"/>
          <w:position w:val="0"/>
          <w:sz w:val="24"/>
          <w:shd w:fill="auto" w:val="clear"/>
        </w:rPr>
        <w:t xml:space="preserve">услуги за 597 потребители, услугите в за резидентна грижа. Потребителите в двата ДСХ са 269.</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област Русе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Общо 432 лица са включени в списъците на чакащите за ползване на социални услуги в териториалния обхват на област Русе. Голям е и броят на лицата за включване в ДСХ, Асистентска подкрепа и ЦНСТПЛПР.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037"/>
        <w:gridCol w:w="5023"/>
      </w:tblGrid>
      <w:tr>
        <w:trPr>
          <w:trHeight w:val="1" w:hRule="atLeast"/>
          <w:jc w:val="left"/>
        </w:trPr>
        <w:tc>
          <w:tcPr>
            <w:tcW w:w="403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Социална услуга</w:t>
            </w:r>
          </w:p>
        </w:tc>
        <w:tc>
          <w:tcPr>
            <w:tcW w:w="502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желаещи да ползват СУ</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Асистентска подкрепа</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130</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ДСХ</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165</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ЦНСТПЛПР</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103</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ЦНСТПЛФУ</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ЦНСТПЛУИ</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ЗЖЛПР</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ЗЖЛУИ</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област Русе, различна от общината по настоящ адрес</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Общият брой на лицата, които ползват социални и интегрирани здравно-социални услуги на територията на област Русе, различна от общината по настоящ адрес е 232. Най-голям е техният брой в социалните услуги на територията на общините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Русе, Ценово, Бяла, следвани от общините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Две могили и Иваново. В общините Ветово и Сливо поле потребителите са от съответната община.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635"/>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 графиката е представено сравнение между функциониращите към момента социални услуги, финансирани от държавния бюджет, съотнесени към социалните услуги по чл. 15 от ЗСУ, максималния брой потребители, съгласно критериите по Наредбата за планиране на социалните услуги и поетите ангажименти от общините в областта.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i/>
          <w:color w:val="000000"/>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област Русе за последните 5 години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Анализа на данните на демографското развитие в област Русе за периода 2021 г.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2017 </w:t>
      </w:r>
      <w:r>
        <w:rPr>
          <w:rFonts w:ascii="Times New Roman" w:hAnsi="Times New Roman" w:cs="Times New Roman" w:eastAsia="Times New Roman"/>
          <w:color w:val="000000"/>
          <w:spacing w:val="0"/>
          <w:position w:val="0"/>
          <w:sz w:val="24"/>
          <w:shd w:fill="auto" w:val="clear"/>
        </w:rPr>
        <w:t xml:space="preserve">г. показва тенденция към намаление на броя на населението в някои от общините. </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Във всички общини се отчита ниска раждаемост с тенденция към намаление, висока смъртност и отрицателен естествен прираст. Прогресивно намаляване на относителния дял на лицата в трудоспособна възраст. Устойчива тенденция към емиграция и обезлюдяване. Висок е броя на хората с увреждания, както и на самотно живеещите стари хора от селата в общината, с невъзможност за самообслужване.</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По-голяма част от социалните услуги в областта са обезпечени със служители, необходими за предоставянето им. Общините са използвали различни възможности за наемане на необходимите служители за извършване на дейностите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специалисти се търсят както в Дирекции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Бюра по труда“, така и на свободния пазар, като на работа се наемат и пенсионери. На база на предоставената от общините информация за заетостта на служителите в социалните услуги, се очертава тенденция за недостиг основно на медицински специалисти.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Една от предпоставките за ефективност на социалните услуги е наличието на квалифициран и мотивиран персонал. Развитието и обучението на човешките ресурси в тази област е важна предпоставка за качествени услуги, които да съдействат за повишаване и качеството на живот на отделните индивиди, семейства и групи. Въпреки съвместните усилия на Община Русе и Технически университет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Ангел Кънчев“, където се обучават студенти по специалност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Социални дейности“, младите специалисти не са мотивирани за работа в социалните услуги и мобилна работа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на терен“. Задълбочава се и проблема с намиране на медицински специалисти.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Русе</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Социалните услуги са ключов фактор за ефективно социално включване и участие в живота на обществото на всички групи лица, които имат необходимост от подкрепа. Във основа на направения анализ на състоянието на социалните услуги на територията на областта и очерталите се тенденции, могат да се направят следните изводи: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 територията на областта има голям брой социални услуги за резидентна грижа за пълнолетни лица с ментални и физически увреждания, но броят им е недостатъчен за задоволяване на потребностите на жителите на областта;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Недостатъчен е капацитетът на услугите, които се предоставят в домашна среда;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 територията на областта има 1 бр. интегрирано здравно-социални услуги за деца и пълнолетни лица;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Осигуряването на равен достъп до услуги на всички нуждаещи се чрез планиране на социални услуги, съгласно реалните потребности и нужди и равномерно разпределение на социалните услуги на територията на област Русе са съществена част от политиките на областната и общинските администрации.</w:t>
      </w:r>
    </w:p>
    <w:p>
      <w:pPr>
        <w:keepNext w:val="true"/>
        <w:numPr>
          <w:ilvl w:val="0"/>
          <w:numId w:val="3980"/>
        </w:numPr>
        <w:tabs>
          <w:tab w:val="left" w:pos="718" w:leader="none"/>
        </w:tabs>
        <w:spacing w:before="360" w:after="120" w:line="240"/>
        <w:ind w:right="0" w:left="718" w:hanging="576"/>
        <w:jc w:val="both"/>
        <w:rPr>
          <w:rFonts w:ascii="Times New Roman" w:hAnsi="Times New Roman" w:cs="Times New Roman" w:eastAsia="Times New Roman"/>
          <w:b/>
          <w:color w:val="003366"/>
          <w:spacing w:val="0"/>
          <w:position w:val="0"/>
          <w:sz w:val="28"/>
          <w:shd w:fill="auto" w:val="clear"/>
        </w:rPr>
      </w:pPr>
      <w:r>
        <w:rPr>
          <w:rFonts w:ascii="Times New Roman" w:hAnsi="Times New Roman" w:cs="Times New Roman" w:eastAsia="Times New Roman"/>
          <w:b/>
          <w:color w:val="003366"/>
          <w:spacing w:val="0"/>
          <w:position w:val="0"/>
          <w:sz w:val="28"/>
          <w:shd w:fill="auto" w:val="clear"/>
        </w:rPr>
        <w:t xml:space="preserve">ОБЛАСТ СИЛИСТРА</w:t>
      </w:r>
    </w:p>
    <w:p>
      <w:pPr>
        <w:keepNext w:val="true"/>
        <w:numPr>
          <w:ilvl w:val="0"/>
          <w:numId w:val="3980"/>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АЛФАТАР</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Данните, на които се е базирал анализът на потребностите от социални и интегрирани здравно-социални услуги на община Алфатар са предоставени на общината от Главна дирекция ГРАО; Национална база данни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Население“; локална база данни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Население“; Националният статистически институт; ДСП, РЗИ, ДБТ, Териториално поделение на НОИ, социални услуги ДДД от общината; социални услуги от съседни общини и др. Анализът е извършен на територията на община Алфатар, която се състои от седем населени места: общински център (гр. Алфатар), 3 кметства (с. Алеково, с. Бистра и с. Чуковец) и 3 кметски наместничества (с. Цар Асен, с. Васил Левски и с. Кутловица).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Алфатар, към 31.12.2021 г. е 2977 жители, от тях 472 деца до 18-годишна възраст. Общият брой на лицата с трайни увреждания е 518, от тях деца 9.</w:t>
      </w:r>
    </w:p>
    <w:p>
      <w:pPr>
        <w:spacing w:before="0" w:after="6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Алфатар има осем действащи социални услуги, делегирани от държавата дейности и те са: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206"/>
        <w:gridCol w:w="1029"/>
        <w:gridCol w:w="799"/>
        <w:gridCol w:w="1763"/>
        <w:gridCol w:w="1011"/>
        <w:gridCol w:w="2252"/>
      </w:tblGrid>
      <w:tr>
        <w:trPr>
          <w:trHeight w:val="277" w:hRule="auto"/>
          <w:jc w:val="left"/>
        </w:trPr>
        <w:tc>
          <w:tcPr>
            <w:tcW w:w="2206" w:type="dxa"/>
            <w:tcBorders>
              <w:top w:val="single" w:color="000000" w:sz="0"/>
              <w:left w:val="single" w:color="000000" w:sz="0"/>
              <w:bottom w:val="single" w:color="000000" w:sz="0"/>
              <w:right w:val="single" w:color="000000" w:sz="0"/>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029" w:type="dxa"/>
            <w:tcBorders>
              <w:top w:val="single" w:color="000000" w:sz="0"/>
              <w:left w:val="single" w:color="000000" w:sz="0"/>
              <w:bottom w:val="single" w:color="000000" w:sz="0"/>
              <w:right w:val="single" w:color="000000" w:sz="0"/>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КЦД</w:t>
            </w:r>
          </w:p>
        </w:tc>
        <w:tc>
          <w:tcPr>
            <w:tcW w:w="799" w:type="dxa"/>
            <w:tcBorders>
              <w:top w:val="single" w:color="000000" w:sz="0"/>
              <w:left w:val="single" w:color="000000" w:sz="0"/>
              <w:bottom w:val="single" w:color="000000" w:sz="0"/>
              <w:right w:val="single" w:color="000000" w:sz="0"/>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1763" w:type="dxa"/>
            <w:tcBorders>
              <w:top w:val="single" w:color="000000" w:sz="0"/>
              <w:left w:val="single" w:color="000000" w:sz="0"/>
              <w:bottom w:val="single" w:color="000000" w:sz="0"/>
              <w:right w:val="single" w:color="000000" w:sz="0"/>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ЦНСТСХ</w:t>
            </w:r>
          </w:p>
        </w:tc>
        <w:tc>
          <w:tcPr>
            <w:tcW w:w="1011" w:type="dxa"/>
            <w:tcBorders>
              <w:top w:val="single" w:color="000000" w:sz="0"/>
              <w:left w:val="single" w:color="000000" w:sz="0"/>
              <w:bottom w:val="single" w:color="000000" w:sz="0"/>
              <w:right w:val="single" w:color="000000" w:sz="0"/>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2252" w:type="dxa"/>
            <w:tcBorders>
              <w:top w:val="single" w:color="000000" w:sz="0"/>
              <w:left w:val="single" w:color="000000" w:sz="0"/>
              <w:bottom w:val="single" w:color="000000" w:sz="0"/>
              <w:right w:val="single" w:color="000000" w:sz="0"/>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r>
      <w:tr>
        <w:trPr>
          <w:trHeight w:val="1" w:hRule="atLeast"/>
          <w:jc w:val="left"/>
        </w:trPr>
        <w:tc>
          <w:tcPr>
            <w:tcW w:w="220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СУ</w:t>
            </w:r>
          </w:p>
        </w:tc>
        <w:tc>
          <w:tcPr>
            <w:tcW w:w="102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79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6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01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2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22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потребители</w:t>
            </w:r>
          </w:p>
        </w:tc>
        <w:tc>
          <w:tcPr>
            <w:tcW w:w="10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c>
          <w:tcPr>
            <w:tcW w:w="7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w:t>
            </w:r>
          </w:p>
        </w:tc>
        <w:tc>
          <w:tcPr>
            <w:tcW w:w="17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0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22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45</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Алфатар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Брой желаещи лица да ползват социалните услуги, които функционират на територията на общината са общо 11.</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 </w:t>
      </w:r>
    </w:p>
    <w:tbl>
      <w:tblPr/>
      <w:tblGrid>
        <w:gridCol w:w="4037"/>
        <w:gridCol w:w="5023"/>
      </w:tblGrid>
      <w:tr>
        <w:trPr>
          <w:trHeight w:val="1" w:hRule="atLeast"/>
          <w:jc w:val="left"/>
        </w:trPr>
        <w:tc>
          <w:tcPr>
            <w:tcW w:w="4037" w:type="dxa"/>
            <w:tcBorders>
              <w:top w:val="single" w:color="000000" w:sz="0"/>
              <w:left w:val="single" w:color="000000" w:sz="0"/>
              <w:bottom w:val="single" w:color="000000" w:sz="0"/>
              <w:right w:val="single" w:color="000000" w:sz="0"/>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Социална услуга</w:t>
            </w:r>
          </w:p>
        </w:tc>
        <w:tc>
          <w:tcPr>
            <w:tcW w:w="5023" w:type="dxa"/>
            <w:tcBorders>
              <w:top w:val="single" w:color="000000" w:sz="0"/>
              <w:left w:val="single" w:color="000000" w:sz="0"/>
              <w:bottom w:val="single" w:color="000000" w:sz="0"/>
              <w:right w:val="single" w:color="000000" w:sz="0"/>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желаещи да ползват СУ</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02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50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от други общини, които ползват социални и интегрирани здравно-социални услуги на територията на община Алфатар</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ЦНСТСХ</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ЦНСТСХ</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ЦНСТПЛПР</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ЦНСТПЛПР</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ЦНСТПЛПР</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Алфатар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 последните пет години, населението на община Алфатар е намаляло с приблизително 155 души. Населението е концентрирано предимно в гр. Алфатар. В селата Кутловица, Васил Левски и Цар Асен се наблюдава обезлюдяване. През последните години възрастова структура на населението в общината, бавно, но постъпателно се влошава. Поради негативните процеси в демографското развитие на общината се наблюдава намаление на населението под трудоспособна възраст. Спадането на раждаемостта, отрицателен естествен прираст, миграция към големите градове се отразяват изключително неблагоприятно и водят до застаряване на населението. Всичко това рефлектира върху устойчивото развитие на обществото и прави по-сложни преходите от един жизнен цикъл в друг.</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Най-силно влияние за намаление на населението оказват промените в естественото движение и особено миграция на младото население извън областта и извън страната. Неблагоприятните стойности на основните демографски показатели в община Алфатар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ниска раждаемост и висока смъртност, обуславят отрицателния естествения прираст и застаряването на населението. Налице е механичен отлив както от селата, така и от общинския център.</w:t>
      </w:r>
    </w:p>
    <w:p>
      <w:pPr>
        <w:tabs>
          <w:tab w:val="left" w:pos="709" w:leader="none"/>
        </w:tabs>
        <w:suppressAutoHyphens w:val="true"/>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в община Алфатар са обезпечени с кадри необходими за предоставянето им. Общината изпълнява задълженията си в качеството си на доставчик на социални услуги за осигуряване на супервизия, обучения и менторство на служителите работещи в услугите. Обученията и менторството се реализират от служители на общината с нужните компетенции. Към момента супервизиите на служителите в социалните услуги се реализират, чрез Проект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BG05</w:t>
      </w:r>
      <w:r>
        <w:rPr>
          <w:rFonts w:ascii="Times New Roman" w:hAnsi="Times New Roman" w:cs="Times New Roman" w:eastAsia="Times New Roman"/>
          <w:color w:val="auto"/>
          <w:spacing w:val="0"/>
          <w:position w:val="0"/>
          <w:sz w:val="24"/>
          <w:shd w:fill="auto" w:val="clear"/>
        </w:rPr>
        <w:t xml:space="preserve">М9ОР001-3.006-0001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Повишаване на капацитета на служителите в сферата на закрилата на детето, социалните услуги и социалното подпомагане“, финансиран от Оперативна програма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Развитие на човешките ресурси“ 2014-2020, съфинансирана от Европейския съюз чрез Европейския социален фонд.</w:t>
      </w:r>
    </w:p>
    <w:p>
      <w:pPr>
        <w:keepNext w:val="true"/>
        <w:numPr>
          <w:ilvl w:val="0"/>
          <w:numId w:val="4024"/>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ГЛАВИНИЦА</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Представеният анализ на потребностите от социални услуги и планирането на социалните услуги е изготвен на основата на събраните данни за броя и състоянието на рисковите групи през последните 5 години. Включената статистическа информация дава възможност да се изведат общите тенденции и да се предложат и планират необходимите социални услуги. При обработка на данните получени от Териториално поделение на НСИ гр. Силистра и данните получени от експертите на ГРАО гр. Главиница се установява, че информацията от двата официални източника се разминава и се взема по-благоприятния вариант като критерии за определяне на социалните услуги и максималният брой потребители в Националната карта на социалните услуги, а именно информацията от експертите на ГРАО гр. Главиница. Наличните данни, предоставени от ДСП са непълни, тъй като обхващат само случаите, регистрирани в дирекцията. Въпреки това, тези данни след въвеждане по зададените критерии в Приложение 5, макар и непълни, дават представа за необходимия максимален брой потребители за всяка социална услуга по чл. 15 от ЗСУ.</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Главиница, към 31.12.2021 г. е 13788 жители, от тях 2386 деца до 18-годишна възраст. Общия брой на лицата с трайни увреждания е 1902, от тях деца 27.</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Главиница са разкрити 5 социални услуги, делегирани от държавата дейности, три от тях са ситуирани в гр. Главиница (ЗЖЛПР, ЦНСТПЛУИ, АП), а останалите две са в с. Малки Преславец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ЦНСТДБУ и в с. Сокол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ЦСРИПЛ. Общият капацитет на социалните услуги е за 112 потребители, в т.ч. 54 асистентска подкрепа.</w:t>
      </w:r>
    </w:p>
    <w:tbl>
      <w:tblPr/>
      <w:tblGrid>
        <w:gridCol w:w="1870"/>
        <w:gridCol w:w="1287"/>
        <w:gridCol w:w="1676"/>
        <w:gridCol w:w="1946"/>
        <w:gridCol w:w="1502"/>
        <w:gridCol w:w="779"/>
      </w:tblGrid>
      <w:tr>
        <w:trPr>
          <w:trHeight w:val="1" w:hRule="atLeast"/>
          <w:jc w:val="left"/>
        </w:trPr>
        <w:tc>
          <w:tcPr>
            <w:tcW w:w="187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rFonts w:ascii="Calibri" w:hAnsi="Calibri" w:cs="Calibri" w:eastAsia="Calibri"/>
                <w:color w:val="auto"/>
                <w:spacing w:val="0"/>
                <w:position w:val="0"/>
                <w:sz w:val="22"/>
                <w:shd w:fill="auto" w:val="clear"/>
              </w:rPr>
            </w:pPr>
          </w:p>
        </w:tc>
        <w:tc>
          <w:tcPr>
            <w:tcW w:w="128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ЗЖЛПР</w:t>
            </w:r>
          </w:p>
        </w:tc>
        <w:tc>
          <w:tcPr>
            <w:tcW w:w="167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19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150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ЦСРИПЛ</w:t>
            </w:r>
          </w:p>
        </w:tc>
        <w:tc>
          <w:tcPr>
            <w:tcW w:w="77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18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СУ</w:t>
            </w:r>
          </w:p>
        </w:tc>
        <w:tc>
          <w:tcPr>
            <w:tcW w:w="12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6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94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0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77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8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потребители</w:t>
            </w:r>
          </w:p>
        </w:tc>
        <w:tc>
          <w:tcPr>
            <w:tcW w:w="12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6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194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150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77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54</w:t>
            </w:r>
          </w:p>
        </w:tc>
      </w:tr>
    </w:tbl>
    <w:p>
      <w:pPr>
        <w:spacing w:before="0" w:after="6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Главиница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Главиница е 96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0"/>
              <w:left w:val="single" w:color="000000" w:sz="0"/>
              <w:bottom w:val="single" w:color="000000" w:sz="0"/>
              <w:right w:val="single" w:color="000000" w:sz="0"/>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Социална услуга</w:t>
            </w:r>
          </w:p>
        </w:tc>
        <w:tc>
          <w:tcPr>
            <w:tcW w:w="5900" w:type="dxa"/>
            <w:tcBorders>
              <w:top w:val="single" w:color="000000" w:sz="0"/>
              <w:left w:val="single" w:color="000000" w:sz="0"/>
              <w:bottom w:val="single" w:color="000000" w:sz="0"/>
              <w:right w:val="single" w:color="000000" w:sz="0"/>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ЗЖЛПР</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ЦСРИПЛ</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29</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61</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Главиница, би могло да се счита, че чакащите за социалната услуга ЦСРИПЛ са доста повече. От една страна самата услуга функционира с 38 лица над капацитета, а от друга общината, поради нарастващата необходимост, през 2022 година е създала с общински средства друг ЦСРИПЛ, ситуиран в с Листец. Самата община Главиница обаче, в настоящия анализ дава ясен сигнал, че е в невъзможност да продължи да финансира с общински средства създадения в с. Листец ЦСРИПЛ. Този факт, следва да се подложи на допълнителен анализ и да е база за тясно сътрудничество с общината, по отношение оказване на методическа подкрепа при продължаване на функциониране на ЦСРИПЛ в с. Листец.</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Главиница,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Главиница функционират 3 броя социални услуги от резидентен тип, които са от областно и национално значение и в тях има настанени лица от други общини. Общият брой на лицата, от други общини, които ползват социални услуги на територията на община Главиница е 10.</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ЗЖЛПР</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ЦНСТДБУ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Главиница за последните 5 години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Данните показват, че населението в община Главиница прогресивно намалява и общината ще продължи да бъде уязвима от неблагоприятните демографски тенденции, ако не настъпят чувствителни промени в социално-икономическата среда и ръста на заетостта. Общината е една от малките общини по население. На територията на общината се наблюдава трайна тенденция към намаляване на населението през последните 5 години, както и в административния център гр. Главиница, така и на околните села. Състоянието на демографските процеси е свързано с влиянието на множество фактори от икономическо, социално, здравно естество, засилени миграционни процеси. Утвърждават се негативни тенденции в естественото развитие на населението, изразяващи се в ниска раждаемост на населението и относително висока смъртност. Към тези фактори следва да се добави и въздействието на външната миграция, която пряко и косвено, също допринася за влошаване на демографската ситуация.</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момента на извършване на настоящия анализ няма незаети длъжности, въпреки това обаче и в община Главиница се наблюдава общото явление за трудно намиране на квалифицирани и добре мотивиран кадри за работа в социалната сфера. Като цялостна прогноза на необходимия персонал, като брой кадри, квалифицирани за съответна длъжност, при спазване разпоредбите на Наредбата за качеството на социалните услуги, ще се наложи увеличаване на щатното разписание на два пъти с по около 2,5 бройки.</w:t>
      </w:r>
    </w:p>
    <w:p>
      <w:pPr>
        <w:keepNext w:val="true"/>
        <w:numPr>
          <w:ilvl w:val="0"/>
          <w:numId w:val="4062"/>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ДУЛОВО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Дулово, информацията за настоящия анализ е получена от следните източници: Териториално статистическо бюро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север, отдел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Статистически изследвания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Силистра“,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Дулово,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Дулово, Направление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Образование“, гр. Дулово, МБАЛ ЕООД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Дулово, ГРАО, както и от действащите към момента на анализа 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Дулово, към 31.12.2021 г. е 26 846 жители, от тях 5 587 деца до 18-годишна възраст. Общият брой на лицата с трайни увреждания е 5052, от тях деца 82.</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Дулово функционират общо шест социални услуги, делегирани от държавата дейности.</w:t>
      </w:r>
    </w:p>
    <w:tbl>
      <w:tblPr/>
      <w:tblGrid>
        <w:gridCol w:w="2190"/>
        <w:gridCol w:w="2238"/>
        <w:gridCol w:w="1508"/>
        <w:gridCol w:w="1256"/>
        <w:gridCol w:w="1073"/>
        <w:gridCol w:w="795"/>
      </w:tblGrid>
      <w:tr>
        <w:trPr>
          <w:trHeight w:val="1" w:hRule="atLeast"/>
          <w:jc w:val="left"/>
        </w:trPr>
        <w:tc>
          <w:tcPr>
            <w:tcW w:w="2190" w:type="dxa"/>
            <w:tcBorders>
              <w:top w:val="single" w:color="000000" w:sz="0"/>
              <w:left w:val="single" w:color="000000" w:sz="0"/>
              <w:bottom w:val="single" w:color="000000" w:sz="0"/>
              <w:right w:val="single" w:color="000000" w:sz="4"/>
            </w:tcBorders>
            <w:shd w:color="auto" w:fill="5b9bd5"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238" w:type="dxa"/>
            <w:tcBorders>
              <w:top w:val="single" w:color="000000" w:sz="0"/>
              <w:left w:val="single" w:color="000000" w:sz="4"/>
              <w:bottom w:val="single" w:color="000000" w:sz="0"/>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1508" w:type="dxa"/>
            <w:tcBorders>
              <w:top w:val="single" w:color="000000" w:sz="0"/>
              <w:left w:val="single" w:color="000000" w:sz="4"/>
              <w:bottom w:val="single" w:color="000000" w:sz="0"/>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ЗЖЛПР</w:t>
            </w:r>
          </w:p>
        </w:tc>
        <w:tc>
          <w:tcPr>
            <w:tcW w:w="1256" w:type="dxa"/>
            <w:tcBorders>
              <w:top w:val="single" w:color="000000" w:sz="0"/>
              <w:left w:val="single" w:color="000000" w:sz="4"/>
              <w:bottom w:val="single" w:color="000000" w:sz="0"/>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w:t>
            </w:r>
          </w:p>
        </w:tc>
        <w:tc>
          <w:tcPr>
            <w:tcW w:w="1073" w:type="dxa"/>
            <w:tcBorders>
              <w:top w:val="single" w:color="000000" w:sz="0"/>
              <w:left w:val="single" w:color="000000" w:sz="4"/>
              <w:bottom w:val="single" w:color="000000" w:sz="0"/>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795" w:type="dxa"/>
            <w:tcBorders>
              <w:top w:val="single" w:color="000000" w:sz="0"/>
              <w:left w:val="single" w:color="000000" w:sz="4"/>
              <w:bottom w:val="single" w:color="000000" w:sz="0"/>
              <w:right w:val="single" w:color="000000" w:sz="0"/>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219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СУ</w:t>
            </w:r>
          </w:p>
        </w:tc>
        <w:tc>
          <w:tcPr>
            <w:tcW w:w="223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5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5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07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79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19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потребители</w:t>
            </w:r>
          </w:p>
        </w:tc>
        <w:tc>
          <w:tcPr>
            <w:tcW w:w="223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5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25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07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c>
          <w:tcPr>
            <w:tcW w:w="79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123</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Дулово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социалните услуги на територията на община Дулово е 32 лица, които респективно са регистрирани в регистъра на чакащите.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Социална услуга</w:t>
            </w:r>
          </w:p>
        </w:tc>
        <w:tc>
          <w:tcPr>
            <w:tcW w:w="5900" w:type="dxa"/>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r>
        <w:trPr>
          <w:trHeight w:val="1" w:hRule="atLeast"/>
          <w:jc w:val="left"/>
        </w:trPr>
        <w:tc>
          <w:tcPr>
            <w:tcW w:w="3160" w:type="dxa"/>
            <w:tcBorders>
              <w:top w:val="single" w:color="000000" w:sz="4"/>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ЗЖЛПР</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1" w:hRule="atLeast"/>
          <w:jc w:val="left"/>
        </w:trPr>
        <w:tc>
          <w:tcPr>
            <w:tcW w:w="3160" w:type="dxa"/>
            <w:tcBorders>
              <w:top w:val="single" w:color="000000" w:sz="4"/>
              <w:left w:val="single" w:color="000000" w:sz="0"/>
              <w:bottom w:val="single" w:color="000000" w:sz="0"/>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Дулово не е предоставила необходимата информация, по отношение броя желаещи да ползват СУ, ситуирани на територията на община Дулово. Поради тази причина, посочената в настоящия анализ информация е взета от извършена справка в системата на АСП към 31.12 2022 г.</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Дулово,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Дулово, общият брой потребители от други общини ползващи социални услуги и интегрирани здравно-социални услуги възлиза на 17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ЦНСТПЛПР </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ЗЖЛПР</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Дулово за последните 5 години</w:t>
      </w:r>
    </w:p>
    <w:p>
      <w:pPr>
        <w:spacing w:before="0" w:after="6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Възрастовата структура на населението е определяща, както за количеството и качеството на човешките ресурси в общината, но също така за демографския ѝ потенциал и не на последно място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за натовареността на социалната система на общината. Тя е с определящо значение и за естественото възпроизводство на населението. Изцяло възрастовата структура на населението в изследваните територии е от регресивен тип. Изменението във възрастовия състав на населението е от решаващо значение за формирането на трудовия потенциал на общината. Спад в броя се наблюдава във всички възрастови групи. </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Дулово, наличните социални услуги в общината са обезпечени с основни и препоръчителни специалисти, съгласно определените минимални изисквания в стандартите за качество на социалните услуги, касаещи броя и квалификацията на необходимите служители. Осигурява се супервизия, обучения и менторство на служителите, заети в социалните услуги. </w:t>
      </w:r>
    </w:p>
    <w:p>
      <w:pPr>
        <w:keepNext w:val="true"/>
        <w:numPr>
          <w:ilvl w:val="0"/>
          <w:numId w:val="4099"/>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КАЙНАРДЖА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процеса на проучване и събиране на информация са използвани данни от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Силистра,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Силистра, Направление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Образование“, ГРАО, както и от действащите социални услуги в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Кайнарджа, към 31.12.2021 г. е 6017 жители, от тях 1715 деца до 18-годишна възраст. Общия брой на лицата с трайни увреждания е 560, от тях деца 38.</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Съществуващите социални услуги на територията на община Кайнарджа, които са държавно делегирана дейност са 4 с общ брой потребители 109.</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563"/>
        <w:gridCol w:w="1477"/>
        <w:gridCol w:w="2298"/>
        <w:gridCol w:w="1792"/>
        <w:gridCol w:w="930"/>
      </w:tblGrid>
      <w:tr>
        <w:trPr>
          <w:trHeight w:val="1" w:hRule="atLeast"/>
          <w:jc w:val="left"/>
        </w:trPr>
        <w:tc>
          <w:tcPr>
            <w:tcW w:w="2563" w:type="dxa"/>
            <w:tcBorders>
              <w:top w:val="single" w:color="000000" w:sz="0"/>
              <w:left w:val="single" w:color="000000" w:sz="0"/>
              <w:bottom w:val="single" w:color="000000" w:sz="0"/>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477" w:type="dxa"/>
            <w:tcBorders>
              <w:top w:val="single" w:color="000000" w:sz="0"/>
              <w:left w:val="single" w:color="000000" w:sz="4"/>
              <w:bottom w:val="single" w:color="000000" w:sz="0"/>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ДЦСХ</w:t>
            </w:r>
          </w:p>
        </w:tc>
        <w:tc>
          <w:tcPr>
            <w:tcW w:w="2298" w:type="dxa"/>
            <w:tcBorders>
              <w:top w:val="single" w:color="000000" w:sz="0"/>
              <w:left w:val="single" w:color="000000" w:sz="4"/>
              <w:bottom w:val="single" w:color="000000" w:sz="0"/>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1792" w:type="dxa"/>
            <w:tcBorders>
              <w:top w:val="single" w:color="000000" w:sz="0"/>
              <w:left w:val="single" w:color="000000" w:sz="4"/>
              <w:bottom w:val="single" w:color="000000" w:sz="0"/>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930" w:type="dxa"/>
            <w:tcBorders>
              <w:top w:val="single" w:color="000000" w:sz="0"/>
              <w:left w:val="single" w:color="000000" w:sz="4"/>
              <w:bottom w:val="single" w:color="000000" w:sz="0"/>
              <w:right w:val="single" w:color="000000" w:sz="0"/>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256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СУ</w:t>
            </w:r>
          </w:p>
        </w:tc>
        <w:tc>
          <w:tcPr>
            <w:tcW w:w="147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29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9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56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потребители</w:t>
            </w:r>
          </w:p>
        </w:tc>
        <w:tc>
          <w:tcPr>
            <w:tcW w:w="147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32</w:t>
            </w:r>
          </w:p>
        </w:tc>
        <w:tc>
          <w:tcPr>
            <w:tcW w:w="229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79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50</w:t>
            </w:r>
          </w:p>
        </w:tc>
        <w:tc>
          <w:tcPr>
            <w:tcW w:w="9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Кайнарджа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Кайнарджа няма регистрирани желаещи/чакащи за настаняване в предоставяните държавно делегирани социални услуги от общината.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Кайнарджа,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 са налице и потребители, от други общини, които да ползват съществуващите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Кайнарджа за последните 5 години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Видно от информацията, подадена от общината, макар на места тя да не е достатъчно изчерпателна, все пак е видима ясно очертаната тенденция за отрицателен естествен и механичен прираст на населението, като последният се дължи най-вече на факта, че активната част от населението на община Кайнарджа търси възможности за трудова реализация и по-добри условия на живот, вкл. здравни и социални услуги, на територията на други общини в област Силистра, а дори и извън нейните административни граници.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Кайнарджа в качеството ѝ на доставчик на социални услуги, въпреки срещаните трудности и предизвикателства, осигурява на работещите в услугите включване в обучения, свързани с предоставянето на социални услуги, екипни и индивидуални супервизии. Към момента на извършване на анализа има 1,5 незаети работни места в сферата на социалните услуги.</w:t>
      </w:r>
    </w:p>
    <w:p>
      <w:pPr>
        <w:keepNext w:val="true"/>
        <w:numPr>
          <w:ilvl w:val="0"/>
          <w:numId w:val="4113"/>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СИЛИСТРА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за общината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За изготвянето на Анализа на потребностите от социални и интегрирани здравно-социални услуги на територията на община Силистра са използвани официални източниците на информация, а именно: Териториално статистическо бюро- Север (НСИ), ДСП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Силистра, РЗИ -  гр. Силистра, ДБТ - гр. Силистра, Отдел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ГРАО“ при община Силистра, отдел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Образование и младежки дейности“ при община Силистра, отдел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Общинска собственост“ при община Силистра, отдел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Стопански дейности“ при община Силистра, ПИРО на община Силистра, както и информация от самите социални услуги, делегирани от държавата дейности, функциониращи на територията на община Силистра. По данни на община Силистра, </w:t>
      </w:r>
      <w:r>
        <w:rPr>
          <w:rFonts w:ascii="Times New Roman" w:hAnsi="Times New Roman" w:cs="Times New Roman" w:eastAsia="Times New Roman"/>
          <w:color w:val="auto"/>
          <w:spacing w:val="0"/>
          <w:position w:val="0"/>
          <w:sz w:val="24"/>
          <w:shd w:fill="auto" w:val="clear"/>
        </w:rPr>
        <w:t xml:space="preserve">в получената статистическа информация е констатирано разминаване при два или повече официални източници, в резултат на което е използван по-благоприятния резултат  за  показател по критериите за определяне на социалните и интегрираните здравно-социални услуги на общинско и областно ниво и на максималния им брой потребители в Националната карта на социалните услуги, посочени в Глава втора от Наредбата за планиране на социалните услуги.</w:t>
      </w:r>
      <w:r>
        <w:rPr>
          <w:rFonts w:ascii="Times New Roman" w:hAnsi="Times New Roman" w:cs="Times New Roman" w:eastAsia="Times New Roman"/>
          <w:color w:val="003366"/>
          <w:spacing w:val="0"/>
          <w:position w:val="0"/>
          <w:sz w:val="24"/>
          <w:shd w:fill="auto" w:val="clear"/>
        </w:rPr>
        <w:t xml:space="preserve">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Силистра, към 31.12.2021 г. е 49943 жители, от тях 7219 деца до 18-годишна възраст. Общият брой на лицата с трайни увреждания е 10097, като общината не разполага с данни колко от тях да деца.</w:t>
      </w:r>
    </w:p>
    <w:p>
      <w:pPr>
        <w:spacing w:before="0" w:after="6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Силистра функционират 16 социални услуги, делегирани от държавния бюджет, от които 4 социални услуги са предоставени за управление на външни доставчици: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721"/>
        <w:gridCol w:w="832"/>
        <w:gridCol w:w="857"/>
        <w:gridCol w:w="1854"/>
        <w:gridCol w:w="1888"/>
        <w:gridCol w:w="1908"/>
      </w:tblGrid>
      <w:tr>
        <w:trPr>
          <w:trHeight w:val="174" w:hRule="auto"/>
          <w:jc w:val="left"/>
        </w:trPr>
        <w:tc>
          <w:tcPr>
            <w:tcW w:w="172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83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85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ЦВН</w:t>
            </w:r>
          </w:p>
        </w:tc>
        <w:tc>
          <w:tcPr>
            <w:tcW w:w="185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188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190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ЦНСТПЛФУ</w:t>
            </w:r>
          </w:p>
        </w:tc>
      </w:tr>
      <w:tr>
        <w:trPr>
          <w:trHeight w:val="174" w:hRule="auto"/>
          <w:jc w:val="left"/>
        </w:trPr>
        <w:tc>
          <w:tcPr>
            <w:tcW w:w="17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СУ</w:t>
            </w:r>
          </w:p>
        </w:tc>
        <w:tc>
          <w:tcPr>
            <w:tcW w:w="83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85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8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9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419" w:hRule="auto"/>
          <w:jc w:val="left"/>
        </w:trPr>
        <w:tc>
          <w:tcPr>
            <w:tcW w:w="17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потребители</w:t>
            </w:r>
          </w:p>
        </w:tc>
        <w:tc>
          <w:tcPr>
            <w:tcW w:w="83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195</w:t>
            </w:r>
          </w:p>
        </w:tc>
        <w:tc>
          <w:tcPr>
            <w:tcW w:w="8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185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8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19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589"/>
        <w:gridCol w:w="866"/>
        <w:gridCol w:w="731"/>
        <w:gridCol w:w="811"/>
        <w:gridCol w:w="1244"/>
        <w:gridCol w:w="1154"/>
        <w:gridCol w:w="1057"/>
        <w:gridCol w:w="1555"/>
      </w:tblGrid>
      <w:tr>
        <w:trPr>
          <w:trHeight w:val="409" w:hRule="auto"/>
          <w:jc w:val="left"/>
        </w:trPr>
        <w:tc>
          <w:tcPr>
            <w:tcW w:w="158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rFonts w:ascii="Calibri" w:hAnsi="Calibri" w:cs="Calibri" w:eastAsia="Calibri"/>
                <w:color w:val="auto"/>
                <w:spacing w:val="0"/>
                <w:position w:val="0"/>
                <w:sz w:val="22"/>
                <w:shd w:fill="auto" w:val="clear"/>
              </w:rPr>
            </w:pPr>
          </w:p>
        </w:tc>
        <w:tc>
          <w:tcPr>
            <w:tcW w:w="86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73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КЦД</w:t>
            </w:r>
          </w:p>
        </w:tc>
        <w:tc>
          <w:tcPr>
            <w:tcW w:w="81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124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ЦСРИПЛ</w:t>
            </w:r>
          </w:p>
        </w:tc>
        <w:tc>
          <w:tcPr>
            <w:tcW w:w="115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105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ДЦСХ</w:t>
            </w:r>
          </w:p>
        </w:tc>
        <w:tc>
          <w:tcPr>
            <w:tcW w:w="155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ЦНСТДМБУ</w:t>
            </w:r>
          </w:p>
        </w:tc>
      </w:tr>
      <w:tr>
        <w:trPr>
          <w:trHeight w:val="409" w:hRule="auto"/>
          <w:jc w:val="left"/>
        </w:trPr>
        <w:tc>
          <w:tcPr>
            <w:tcW w:w="158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СУ</w:t>
            </w:r>
          </w:p>
        </w:tc>
        <w:tc>
          <w:tcPr>
            <w:tcW w:w="86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73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1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4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15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0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5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600" w:hRule="auto"/>
          <w:jc w:val="left"/>
        </w:trPr>
        <w:tc>
          <w:tcPr>
            <w:tcW w:w="158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потребители</w:t>
            </w:r>
          </w:p>
        </w:tc>
        <w:tc>
          <w:tcPr>
            <w:tcW w:w="86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200</w:t>
            </w:r>
          </w:p>
        </w:tc>
        <w:tc>
          <w:tcPr>
            <w:tcW w:w="73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81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24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c>
          <w:tcPr>
            <w:tcW w:w="115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48</w:t>
            </w:r>
          </w:p>
        </w:tc>
        <w:tc>
          <w:tcPr>
            <w:tcW w:w="10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155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tbl>
      <w:tblPr/>
      <w:tblGrid>
        <w:gridCol w:w="4380"/>
        <w:gridCol w:w="4680"/>
      </w:tblGrid>
      <w:tr>
        <w:trPr>
          <w:trHeight w:val="409" w:hRule="auto"/>
          <w:jc w:val="left"/>
        </w:trPr>
        <w:tc>
          <w:tcPr>
            <w:tcW w:w="438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rFonts w:ascii="Calibri" w:hAnsi="Calibri" w:cs="Calibri" w:eastAsia="Calibri"/>
                <w:color w:val="auto"/>
                <w:spacing w:val="0"/>
                <w:position w:val="0"/>
                <w:sz w:val="22"/>
                <w:shd w:fill="auto" w:val="clear"/>
              </w:rPr>
            </w:pPr>
          </w:p>
        </w:tc>
        <w:tc>
          <w:tcPr>
            <w:tcW w:w="468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r>
      <w:tr>
        <w:trPr>
          <w:trHeight w:val="211" w:hRule="auto"/>
          <w:jc w:val="left"/>
        </w:trPr>
        <w:tc>
          <w:tcPr>
            <w:tcW w:w="43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СУ</w:t>
            </w:r>
          </w:p>
        </w:tc>
        <w:tc>
          <w:tcPr>
            <w:tcW w:w="46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360" w:hRule="auto"/>
          <w:jc w:val="left"/>
        </w:trPr>
        <w:tc>
          <w:tcPr>
            <w:tcW w:w="43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потребители</w:t>
            </w:r>
          </w:p>
        </w:tc>
        <w:tc>
          <w:tcPr>
            <w:tcW w:w="46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Силистра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От информацията предоставена от ДСП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Силистра, бе установено, че общия брой на лицата желаещи да ползват социални услуги са 31 лица.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 територията на Община Силистра функционират две социални услуги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Център за настаняване от семеен тип за пълнолетни лица с психични разстройства“ с капацитет по 15 места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общо 30 места и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Център за настаняване от семеен тип за пълнолетни лица с умствена изостаналост“ с 15 места. Трите социални услуги към момента са със запълнен капацитет.</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tbl>
      <w:tblPr/>
      <w:tblGrid>
        <w:gridCol w:w="3160"/>
        <w:gridCol w:w="5900"/>
      </w:tblGrid>
      <w:tr>
        <w:trPr>
          <w:trHeight w:val="321" w:hRule="auto"/>
          <w:jc w:val="left"/>
        </w:trPr>
        <w:tc>
          <w:tcPr>
            <w:tcW w:w="3160" w:type="dxa"/>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Социална услуга</w:t>
            </w:r>
          </w:p>
        </w:tc>
        <w:tc>
          <w:tcPr>
            <w:tcW w:w="5900" w:type="dxa"/>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желаещи да ползват СУ</w:t>
            </w:r>
          </w:p>
        </w:tc>
      </w:tr>
      <w:tr>
        <w:trPr>
          <w:trHeight w:val="341" w:hRule="auto"/>
          <w:jc w:val="left"/>
        </w:trPr>
        <w:tc>
          <w:tcPr>
            <w:tcW w:w="3160" w:type="dxa"/>
            <w:tcBorders>
              <w:top w:val="single" w:color="000000" w:sz="4"/>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r>
      <w:tr>
        <w:trPr>
          <w:trHeight w:val="276" w:hRule="auto"/>
          <w:jc w:val="left"/>
        </w:trPr>
        <w:tc>
          <w:tcPr>
            <w:tcW w:w="3160" w:type="dxa"/>
            <w:tcBorders>
              <w:top w:val="single" w:color="000000" w:sz="4"/>
              <w:left w:val="single" w:color="000000" w:sz="0"/>
              <w:bottom w:val="single" w:color="000000" w:sz="0"/>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Силистра,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от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Силистра, към момента на изготвяне на анализа в социалните услуги, действащи на територията на община Силистра има общо 149 потребители от други общини.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ЦНСТПЛПР </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ЦНСТПЛУИ</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ЦНСТПЛФУ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ЦНСТДМУ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ЦНСТДБУ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ДЦДМУ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66</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ЦСРИПЛ</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31</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КЦД</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Силистра за последните 5 години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Тенденцията, която се наблюдава като цяло за страната на застаряване на населението се проявява и на територията на община Силистра. Населението в активна </w:t>
      </w:r>
      <w:r>
        <w:rPr>
          <w:rFonts w:ascii="Times New Roman" w:hAnsi="Times New Roman" w:cs="Times New Roman" w:eastAsia="Times New Roman"/>
          <w:color w:val="000000"/>
          <w:spacing w:val="0"/>
          <w:position w:val="0"/>
          <w:sz w:val="24"/>
          <w:shd w:fill="auto" w:val="clear"/>
        </w:rPr>
        <w:t xml:space="preserve">трудова възраст населява градовете и по-конкретно общинския и областен център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гр. Силистра, докато в селата е локализирано предимно възрастно население.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Естествените демографски процеси, като смъртност, водят до намаляване на постоянният брой на жителите на малките населени места, което е предпоставка за заличаването им от административно-териториалното деление на страната и за изоставяне на урбанизирани вече територии. В резултат на това ясно се очертава негативната тенденция на обезлюдяване на селата, намаляване на прираста на населението, активни миграционни процеси, свързани най-вече с търсене на заетост на млади, образовани хора извън територията не само на общината, а и на областта.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Тенденцията на остаряване на населението довежда до промени в неговата основна възрастова структура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разпределение на населението под, в и надтрудоспособна възраст.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момента на изготвяне на анализа общият брой на персонала в социалните услуги на територията на община Силистра, съгласно щатните разписания е 291 длъжности, от тях заети са 264,5 щатни длъжности, а свободни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26,5.</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качеството си на доставчик на социални услуги, Община Силистра ежегодно осигурява супервизии и обучения на персонала от социалните услуги. През периода 2017-2019 г. Община Силистра, заедно с Регионалната структура на КНСБ изпълняваше проекти с менторство.</w:t>
      </w:r>
    </w:p>
    <w:p>
      <w:pPr>
        <w:keepNext w:val="true"/>
        <w:numPr>
          <w:ilvl w:val="0"/>
          <w:numId w:val="4188"/>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СИТОВО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процеса на проучване и събиране на информация община Ситово използва данни от ДСП - Силистра, ДБТ - Силистра, Направление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Образование”, ГРАО, действащите социални услуги в общината.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Ситово, към 31.12.2021 г. е 5259 жители, от тях 1017 деца до 18-годишна възраст. Общия брой на лицата с трайни увреждания е 980, от тях деца 297.</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48"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Ситово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Регистрирани желаещи да ползват функциониращите социални услуги, държавно подкрепа, които са 18 на брой.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Ситово,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регистрирани лица от други общини, ползващи съществуващите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Ситово за последните 5 години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FFFFFF"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Демографските процеси отразяват естественото възпроизводство, миграцията и изменението на различните структури на населението. Те са многообразни по своята същност и форма на проявление, сложни са по характер, взаимосвързани и реализиращи прави и обратни връзки с всички останали процеси в общественото развитие.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FFFFFF" w:val="clear"/>
        </w:rPr>
        <w:t xml:space="preserve">По статистически данни на НСИ оповестени на 03.10.2022 г. от Преброяване на населението и жилищния фонд, проведено през месец Септември 2021 г. по средногодишно население по области, общини и местоживеене, се посочва, че в община Ситово живеят 4 533 души. Броят на населението в общината съставлява 4.54 % от това на област Силистра</w:t>
      </w:r>
      <w:r>
        <w:rPr>
          <w:rFonts w:ascii="Times New Roman" w:hAnsi="Times New Roman" w:cs="Times New Roman" w:eastAsia="Times New Roman"/>
          <w:color w:val="222222"/>
          <w:spacing w:val="0"/>
          <w:position w:val="0"/>
          <w:sz w:val="24"/>
          <w:shd w:fill="FFFFFF" w:val="clear"/>
        </w:rPr>
        <w:t xml:space="preserve">.</w:t>
      </w:r>
      <w:r>
        <w:rPr>
          <w:rFonts w:ascii="Times New Roman" w:hAnsi="Times New Roman" w:cs="Times New Roman" w:eastAsia="Times New Roman"/>
          <w:color w:val="auto"/>
          <w:spacing w:val="0"/>
          <w:position w:val="0"/>
          <w:sz w:val="24"/>
          <w:shd w:fill="auto" w:val="clear"/>
        </w:rPr>
        <w:t xml:space="preserve">През периода 2017-2021 години коефициентът на раждаемост намалява, увеличава се коефициентът на смъртност. Основен фактор, обуславящ динамиката в общата смъртност е процесът на демографско остаряване. Този процес се характеризира с промени във възрастовата структура на населението и се свежда до намаление на относителните дялове на младите лица и увеличаване на дела на по-старите. Община Ситово се характеризира с отрицателен естествен прираст. През последните години, по данни на ГРАО продължава тенденцията за намаляване броя на населението в община Ситово.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община Ситово се покрива базовия спектър от социални услуги в общността, които се предоставят за населението на отделните населени места. Община Ситово е обезпечена с квалифицирани специалисти, които имат необходимия опит за организиране и извършване на различите социални услуги. Повечето от предлаганите социални услуги се предоставят целодневно или почасово, в зависимост от нуждите на потребителя, което дава възможност за комплексно ползване на разнообразни социални услуги. За повишаване качеството на предлаганите социални услуги е необходимо да бъдат предвидени супервизии и обучения за повишаване квалификацията и преквалификацията на служителите, заети в социалните услуги.</w:t>
      </w:r>
    </w:p>
    <w:p>
      <w:pPr>
        <w:keepNext w:val="true"/>
        <w:numPr>
          <w:ilvl w:val="0"/>
          <w:numId w:val="4194"/>
        </w:numPr>
        <w:tabs>
          <w:tab w:val="left" w:pos="718" w:leader="none"/>
        </w:tabs>
        <w:spacing w:before="360" w:after="120" w:line="240"/>
        <w:ind w:right="0" w:left="718"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ТУТРАКАН</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 целите на настоящия анализ са използвани данни от община Тутракан, ДСП,  НСИ, ТСБ-Силистра, Дирекция ”Бюро по труда”-Тутракан, МБАЛ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Тутракан, както и от самите социални услуги, функциониращи на територията на община Тутракан,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Хуманитарни дейности”,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Информационно обслужване и общински услуги”,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Общинска собственост и стопански дейности”,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Финанси, счетоводство и бюджет”.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Тутракан, към 31.12.2021 г. е 12980 жители, от тях 2001 деца до 18-годишна възраст. Общият брой на лицата с трайни увреждания е 2083, от тях деца 27.</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Тутракан функционират 9 социални услуги, делегирани от държавата дейност с общ брой потребители 233 души.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020"/>
        <w:gridCol w:w="1288"/>
        <w:gridCol w:w="1970"/>
        <w:gridCol w:w="1671"/>
        <w:gridCol w:w="1071"/>
        <w:gridCol w:w="1040"/>
      </w:tblGrid>
      <w:tr>
        <w:trPr>
          <w:trHeight w:val="1" w:hRule="atLeast"/>
          <w:jc w:val="left"/>
        </w:trPr>
        <w:tc>
          <w:tcPr>
            <w:tcW w:w="202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28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197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167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ЦСРИПЛ</w:t>
            </w:r>
          </w:p>
        </w:tc>
        <w:tc>
          <w:tcPr>
            <w:tcW w:w="107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104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20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СУ</w:t>
            </w:r>
          </w:p>
        </w:tc>
        <w:tc>
          <w:tcPr>
            <w:tcW w:w="12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9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67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07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04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0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потребители</w:t>
            </w:r>
          </w:p>
        </w:tc>
        <w:tc>
          <w:tcPr>
            <w:tcW w:w="12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c>
          <w:tcPr>
            <w:tcW w:w="19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167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07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04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64</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938"/>
        <w:gridCol w:w="1354"/>
        <w:gridCol w:w="1979"/>
        <w:gridCol w:w="2015"/>
        <w:gridCol w:w="1774"/>
      </w:tblGrid>
      <w:tr>
        <w:trPr>
          <w:trHeight w:val="1" w:hRule="atLeast"/>
          <w:jc w:val="left"/>
        </w:trPr>
        <w:tc>
          <w:tcPr>
            <w:tcW w:w="193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35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197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201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177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ЦНСТПЛД</w:t>
            </w:r>
          </w:p>
        </w:tc>
      </w:tr>
      <w:tr>
        <w:trPr>
          <w:trHeight w:val="1" w:hRule="atLeast"/>
          <w:jc w:val="left"/>
        </w:trPr>
        <w:tc>
          <w:tcPr>
            <w:tcW w:w="193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СУ</w:t>
            </w:r>
          </w:p>
        </w:tc>
        <w:tc>
          <w:tcPr>
            <w:tcW w:w="135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97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01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7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93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потребители</w:t>
            </w:r>
          </w:p>
        </w:tc>
        <w:tc>
          <w:tcPr>
            <w:tcW w:w="135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97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201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177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Тутракан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Тутракан е 16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Социална услуга</w:t>
            </w:r>
          </w:p>
        </w:tc>
        <w:tc>
          <w:tcPr>
            <w:tcW w:w="5900" w:type="dxa"/>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Асистентска подкрепа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r>
      <w:tr>
        <w:trPr>
          <w:trHeight w:val="1" w:hRule="atLeast"/>
          <w:jc w:val="left"/>
        </w:trPr>
        <w:tc>
          <w:tcPr>
            <w:tcW w:w="3160" w:type="dxa"/>
            <w:tcBorders>
              <w:top w:val="single" w:color="000000" w:sz="4"/>
              <w:left w:val="single" w:color="000000" w:sz="0"/>
              <w:bottom w:val="single" w:color="000000" w:sz="0"/>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Тутракан,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Във функциониращите социални услуги на територията на община Тутракан, има общо 34 потребители от други общини.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1"/>
        <w:gridCol w:w="4509"/>
      </w:tblGrid>
      <w:tr>
        <w:trPr>
          <w:trHeight w:val="1" w:hRule="atLeast"/>
          <w:jc w:val="left"/>
        </w:trPr>
        <w:tc>
          <w:tcPr>
            <w:tcW w:w="4541" w:type="dxa"/>
            <w:tcBorders>
              <w:top w:val="single" w:color="000000" w:sz="4"/>
              <w:left w:val="single" w:color="000000" w:sz="8"/>
              <w:bottom w:val="single" w:color="000000" w:sz="4"/>
              <w:right w:val="single" w:color="000000" w:sz="8"/>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09" w:type="dxa"/>
            <w:tcBorders>
              <w:top w:val="single" w:color="000000" w:sz="4"/>
              <w:left w:val="single" w:color="000000" w:sz="0"/>
              <w:bottom w:val="single" w:color="000000" w:sz="4"/>
              <w:right w:val="single" w:color="000000" w:sz="8"/>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4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r>
      <w:tr>
        <w:trPr>
          <w:trHeight w:val="1" w:hRule="atLeast"/>
          <w:jc w:val="left"/>
        </w:trPr>
        <w:tc>
          <w:tcPr>
            <w:tcW w:w="45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ЦНСТДБУ</w:t>
            </w:r>
          </w:p>
        </w:tc>
        <w:tc>
          <w:tcPr>
            <w:tcW w:w="4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1" w:hRule="atLeast"/>
          <w:jc w:val="left"/>
        </w:trPr>
        <w:tc>
          <w:tcPr>
            <w:tcW w:w="45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4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r>
      <w:tr>
        <w:trPr>
          <w:trHeight w:val="1" w:hRule="atLeast"/>
          <w:jc w:val="left"/>
        </w:trPr>
        <w:tc>
          <w:tcPr>
            <w:tcW w:w="45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c>
          <w:tcPr>
            <w:tcW w:w="4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Тутракан за последните 5 години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Основните заключения за тенденциите в демографските процеси в община Тутракан са:</w:t>
      </w:r>
    </w:p>
    <w:p>
      <w:pPr>
        <w:numPr>
          <w:ilvl w:val="0"/>
          <w:numId w:val="4241"/>
        </w:numPr>
        <w:tabs>
          <w:tab w:val="left" w:pos="717"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Застаряване на населението и регресивен тип възрастова структура.</w:t>
      </w:r>
    </w:p>
    <w:p>
      <w:pPr>
        <w:numPr>
          <w:ilvl w:val="0"/>
          <w:numId w:val="4241"/>
        </w:numPr>
        <w:tabs>
          <w:tab w:val="left" w:pos="717"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Ниска раждаемост с тенденция към намаление.</w:t>
      </w:r>
    </w:p>
    <w:p>
      <w:pPr>
        <w:numPr>
          <w:ilvl w:val="0"/>
          <w:numId w:val="4241"/>
        </w:numPr>
        <w:tabs>
          <w:tab w:val="left" w:pos="717"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Висока смъртност и отрицателен естествен прираст и продължение на тенденцията.</w:t>
      </w:r>
    </w:p>
    <w:p>
      <w:pPr>
        <w:numPr>
          <w:ilvl w:val="0"/>
          <w:numId w:val="4241"/>
        </w:numPr>
        <w:tabs>
          <w:tab w:val="left" w:pos="717"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Намаляване на относителния дял на относителният дял на лицата в трудоспособна възраст</w:t>
      </w:r>
    </w:p>
    <w:p>
      <w:pPr>
        <w:numPr>
          <w:ilvl w:val="0"/>
          <w:numId w:val="4241"/>
        </w:numPr>
        <w:tabs>
          <w:tab w:val="left" w:pos="717"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Запазване относителния дял на лицата под трудоспособна възраст.</w:t>
      </w:r>
    </w:p>
    <w:p>
      <w:pPr>
        <w:numPr>
          <w:ilvl w:val="0"/>
          <w:numId w:val="4241"/>
        </w:numPr>
        <w:tabs>
          <w:tab w:val="left" w:pos="717"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Намаляване броя на лицата в нетрудоспособна възраст.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Демографската картина за община Тутракан, както и за цялата страна е неблагоприятна, населението застарява, както в резултат на естествените процеси на раждаемост и смъртност, така и в резултат на засилените миграционни процеси.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социалните услуги предоставяни от ДСХ, ЦОП, ЦСРИ, ЦНСТДБУ и Асистентска подкрепа са изпълнени задълженията за осигуряване на професионално и кариерно развитие на персонала (осигурена супервизия и обучения). При съпоставка на данните за брой назначени служители и брой незаети длъжности, както и въз основа на определените минимални изисквания в стандартите за качество на социалните услуги, касаещи броя и квалификацията на необходимите служители, общината прогнозира лека промяна на бройките, отразени в щатните разписания, с цел съобразяване със законовите разпоредби. </w:t>
      </w:r>
    </w:p>
    <w:p>
      <w:pPr>
        <w:keepNext w:val="true"/>
        <w:numPr>
          <w:ilvl w:val="0"/>
          <w:numId w:val="4243"/>
        </w:numPr>
        <w:tabs>
          <w:tab w:val="left" w:pos="718" w:leader="none"/>
        </w:tabs>
        <w:spacing w:before="360" w:after="120" w:line="240"/>
        <w:ind w:right="0" w:left="718"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АНАЛИЗ НА ПОТРЕБНОСТИТЕ В ОБЛАСТ СИЛИСТРА (обобщено)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обобщени за област Силистра по общини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общините от област Силистра информацията за населението по критериите съгласно Наредбата за планиране на социалните услуги е получена от информационна система ГРАО на общините, РЗИ, от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от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 кметове и кметски наместници, социалните услуги, функциониращи на територията на всяка една отделна община в рамките на административната област, училища, лечебни заведения, социални услуги и др.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област Силистра, към 31.12.2021 г. е 117 810 жители, от тях 20 397 деца до 18-годишна възраст. Общият брой на лицата с трайни увреждания е 21 229, от тях деца 649.</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Съществуващите социални и интегрирани здравно-социални услуги и брой на техните потребители (общ и по видове услуги и групи потребители) за цялата област по общини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социалните услуги на територията на област Силистра е 50 с 1446 потребители. Броят на социалните услуги за деца е 13 с 220 потребители. Социалните услуги за пълнолетни лица са 33 с 1226 потребители.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графиките е видно, че на територията на областта преобладават социалните услуги за резидентна грижа (ЦНСТ, ЗЖ, ПЖ, НЖ, КЦ, ЦВН)  - 26 за 332 потребители, а най-малък брой са специализираните институции за пълнолетни лица (ДСХ) - 3 на брой, в които се полагат грижи за общо 255 лица в надтрудоспособна възраст. Консултативните услуги (ДЦ, ЦСРИ, ЦОП, ЦРДУ) са 14 и обслужват общо 355 потребители. Услугите в домашна среда (АП)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7 </w:t>
      </w:r>
      <w:r>
        <w:rPr>
          <w:rFonts w:ascii="Times New Roman" w:hAnsi="Times New Roman" w:cs="Times New Roman" w:eastAsia="Times New Roman"/>
          <w:color w:val="auto"/>
          <w:spacing w:val="0"/>
          <w:position w:val="0"/>
          <w:sz w:val="24"/>
          <w:shd w:fill="auto" w:val="clear"/>
        </w:rPr>
        <w:t xml:space="preserve">услуги за 504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област Силистра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035"/>
        <w:gridCol w:w="5025"/>
      </w:tblGrid>
      <w:tr>
        <w:trPr>
          <w:trHeight w:val="201" w:hRule="auto"/>
          <w:jc w:val="left"/>
        </w:trPr>
        <w:tc>
          <w:tcPr>
            <w:tcW w:w="403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02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94" w:hRule="auto"/>
          <w:jc w:val="left"/>
        </w:trPr>
        <w:tc>
          <w:tcPr>
            <w:tcW w:w="403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0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106</w:t>
            </w:r>
          </w:p>
        </w:tc>
      </w:tr>
      <w:tr>
        <w:trPr>
          <w:trHeight w:val="201" w:hRule="auto"/>
          <w:jc w:val="left"/>
        </w:trPr>
        <w:tc>
          <w:tcPr>
            <w:tcW w:w="403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50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34</w:t>
            </w:r>
          </w:p>
        </w:tc>
      </w:tr>
      <w:tr>
        <w:trPr>
          <w:trHeight w:val="201" w:hRule="auto"/>
          <w:jc w:val="left"/>
        </w:trPr>
        <w:tc>
          <w:tcPr>
            <w:tcW w:w="403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ЗЖЛПР</w:t>
            </w:r>
          </w:p>
        </w:tc>
        <w:tc>
          <w:tcPr>
            <w:tcW w:w="50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r>
      <w:tr>
        <w:trPr>
          <w:trHeight w:val="194" w:hRule="auto"/>
          <w:jc w:val="left"/>
        </w:trPr>
        <w:tc>
          <w:tcPr>
            <w:tcW w:w="403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50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w:t>
            </w:r>
          </w:p>
        </w:tc>
      </w:tr>
      <w:tr>
        <w:trPr>
          <w:trHeight w:val="201" w:hRule="auto"/>
          <w:jc w:val="left"/>
        </w:trPr>
        <w:tc>
          <w:tcPr>
            <w:tcW w:w="403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ЦСРИПЛ</w:t>
            </w:r>
          </w:p>
        </w:tc>
        <w:tc>
          <w:tcPr>
            <w:tcW w:w="50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29</w:t>
            </w:r>
          </w:p>
        </w:tc>
      </w:tr>
      <w:tr>
        <w:trPr>
          <w:trHeight w:val="194" w:hRule="auto"/>
          <w:jc w:val="left"/>
        </w:trPr>
        <w:tc>
          <w:tcPr>
            <w:tcW w:w="403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50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Лицата, желаещи да ползват и респективно включени в регистрите на чакащите за ползване на социални услуги в териториалния обхват на област Силистра са 204. В това число е и броят на лицата за включване в Асистентска подкрепа, видно от данните, те са 106 лица.</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област Силистра, различна от общината по настоящ адрес</w:t>
      </w:r>
    </w:p>
    <w:p>
      <w:pPr>
        <w:spacing w:before="0" w:after="6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и интегрирани здравно-социални услуги на територията на област Силистра, различна от общината по настоящ адрес е 255. Най-голям е техният брой в социалните услуги на територията на общините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Силистра, Алфатар и Тутракан.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следващата графика е представено сравнение между функциониращите към момента социални услуги, финансирани от държавния бюджет, съотнесени към социалните услуги по чл. 15 от ЗСУ, максималния брой потребители, съгласно критериите по Наредбата за планиране на социалните услуги и поетите ангажименти от общините в областта.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област Силистра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Анализа на данните на демографското развитие в област Силистра за периода 2021 г.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2017 </w:t>
      </w:r>
      <w:r>
        <w:rPr>
          <w:rFonts w:ascii="Times New Roman" w:hAnsi="Times New Roman" w:cs="Times New Roman" w:eastAsia="Times New Roman"/>
          <w:color w:val="auto"/>
          <w:spacing w:val="0"/>
          <w:position w:val="0"/>
          <w:sz w:val="24"/>
          <w:shd w:fill="auto" w:val="clear"/>
        </w:rPr>
        <w:t xml:space="preserve">г. показва отчетлив тренд към намаление броя на населението във всички общини, с изключение на общ. Дулово и общ. Кайнарджа, в които през 2021 година се забелязва повишаване на общия брой на населението.</w:t>
      </w:r>
    </w:p>
    <w:p>
      <w:pPr>
        <w:spacing w:before="0" w:after="40" w:line="240"/>
        <w:ind w:right="0" w:left="0" w:firstLine="567"/>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отношение на показателите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раждаемост, смъртност и естествен прираст, обстановката в област Силистра не е по-различна от негативната тенденция характерна за цялата страна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намаляване на раждаемостта, повишаване на смъртността и естествен прираст с отрицателни стойности. </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По-голяма част от социалните услуги в областта са обезпечени със служители, необходими за предоставянето им. Общините са използвали различни възможности за наемане на необходимите служители за извършване на дейностите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специалисти се търсят както в Дирекции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Бюра по труда“, така и на свободния пазар, като на работа се наемат и пенсионери. На база на предоставената от общините информация за заетостта на служителите в социалните услуги, се очертава тенденция за недостиг основно на медицински специалисти.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Една от предпоставките за ефективност на социалните услуги е наличието на квалифициран и мотивиран персонал. Развитието и обучението на човешките ресурси в тази област е важна предпоставка за качествени услуги, които да съдействат за повишаване и качеството на живот на отделните индивиди, семейства и групи.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Силистра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има сравнително голям брой социални услуги за резидентна грижа за пълнолетни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 територията на областта няма интегрирани здравно-социални услуги за деца и пълнолетни лица.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4275"/>
        </w:numPr>
        <w:tabs>
          <w:tab w:val="left" w:pos="432" w:leader="none"/>
        </w:tabs>
        <w:spacing w:before="0" w:after="0" w:line="240"/>
        <w:ind w:right="0" w:left="432" w:hanging="432"/>
        <w:jc w:val="both"/>
        <w:rPr>
          <w:rFonts w:ascii="Times New Roman" w:hAnsi="Times New Roman" w:cs="Times New Roman" w:eastAsia="Times New Roman"/>
          <w:b/>
          <w:color w:val="003366"/>
          <w:spacing w:val="0"/>
          <w:position w:val="0"/>
          <w:sz w:val="36"/>
          <w:shd w:fill="auto" w:val="clear"/>
        </w:rPr>
      </w:pPr>
      <w:r>
        <w:rPr>
          <w:rFonts w:ascii="Times New Roman" w:hAnsi="Times New Roman" w:cs="Times New Roman" w:eastAsia="Times New Roman"/>
          <w:b/>
          <w:color w:val="003366"/>
          <w:spacing w:val="0"/>
          <w:position w:val="0"/>
          <w:sz w:val="36"/>
          <w:shd w:fill="auto" w:val="clear"/>
        </w:rPr>
        <w:t xml:space="preserve">СЕВЕРОИЗТОЧЕН РЕГИОН</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4277"/>
        </w:numPr>
        <w:tabs>
          <w:tab w:val="left" w:pos="718" w:leader="none"/>
        </w:tabs>
        <w:spacing w:before="0" w:after="0" w:line="240"/>
        <w:ind w:right="0" w:left="718" w:hanging="576"/>
        <w:jc w:val="both"/>
        <w:rPr>
          <w:rFonts w:ascii="Times New Roman" w:hAnsi="Times New Roman" w:cs="Times New Roman" w:eastAsia="Times New Roman"/>
          <w:b/>
          <w:color w:val="003366"/>
          <w:spacing w:val="0"/>
          <w:position w:val="0"/>
          <w:sz w:val="28"/>
          <w:shd w:fill="auto" w:val="clear"/>
        </w:rPr>
      </w:pPr>
      <w:r>
        <w:rPr>
          <w:rFonts w:ascii="Times New Roman" w:hAnsi="Times New Roman" w:cs="Times New Roman" w:eastAsia="Times New Roman"/>
          <w:b/>
          <w:color w:val="003366"/>
          <w:spacing w:val="0"/>
          <w:position w:val="0"/>
          <w:sz w:val="28"/>
          <w:shd w:fill="auto" w:val="clear"/>
        </w:rPr>
        <w:t xml:space="preserve">ОБЛАСТ ВАРНА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4279"/>
        </w:numPr>
        <w:tabs>
          <w:tab w:val="left" w:pos="862" w:leader="none"/>
          <w:tab w:val="left" w:pos="1430" w:leader="none"/>
        </w:tabs>
        <w:spacing w:before="0" w:after="0" w:line="240"/>
        <w:ind w:right="0" w:left="1430"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АВРЕН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Аврен е използвана информация за населението, получена от официални източници, а именно: от НСИ, ДСП, ДБТ, РЗИ,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Образование, култура, туризъм и социални дейности“ при община Аврен, както и данни на доставчиците на социалните услуги в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Аврен, към 31.12.2021 г. е 9654 жители, от тях 1306 деца до 18-годишна възраст. Общият брой на лицата с трайни увреждания е 7639, от тях деца 429.</w:t>
      </w:r>
    </w:p>
    <w:p>
      <w:pPr>
        <w:spacing w:before="0" w:after="0" w:line="240"/>
        <w:ind w:right="0" w:left="0" w:firstLine="708"/>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Аврен има една действаща социална услуга, държавно делегирана дейност по чл. 15, т. 10 от ЗСУ и тя 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Асистентска подкрепа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Благодарение на социалната услуга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Асистентска подкрепа” се обгрижват 31 потребителя от 10 социални асистента в 9 населени места на територията на община Аврен.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6648"/>
        <w:gridCol w:w="2412"/>
      </w:tblGrid>
      <w:tr>
        <w:trPr>
          <w:trHeight w:val="1" w:hRule="atLeast"/>
          <w:jc w:val="left"/>
        </w:trPr>
        <w:tc>
          <w:tcPr>
            <w:tcW w:w="6648" w:type="dxa"/>
            <w:tcBorders>
              <w:top w:val="single" w:color="000000" w:sz="0"/>
              <w:left w:val="single" w:color="000000" w:sz="0"/>
              <w:bottom w:val="single" w:color="000000" w:sz="0"/>
              <w:right w:val="single" w:color="000000" w:sz="0"/>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412" w:type="dxa"/>
            <w:tcBorders>
              <w:top w:val="single" w:color="000000" w:sz="0"/>
              <w:left w:val="single" w:color="000000" w:sz="0"/>
              <w:bottom w:val="single" w:color="000000" w:sz="0"/>
              <w:right w:val="single" w:color="000000" w:sz="0"/>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66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СУ</w:t>
            </w:r>
          </w:p>
        </w:tc>
        <w:tc>
          <w:tcPr>
            <w:tcW w:w="24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66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потребители</w:t>
            </w:r>
          </w:p>
        </w:tc>
        <w:tc>
          <w:tcPr>
            <w:tcW w:w="24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31</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Аврен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Аврен не се предоставят интегрирани здравно-социални услуги, делегирани от държавата дейности. Общият брой на желаещите да ползват социалната услуга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Асистентска подкрепа“ на територията на община Аврен е 3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ма души.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tbl>
      <w:tblPr/>
      <w:tblGrid>
        <w:gridCol w:w="4037"/>
        <w:gridCol w:w="5023"/>
      </w:tblGrid>
      <w:tr>
        <w:trPr>
          <w:trHeight w:val="1" w:hRule="atLeast"/>
          <w:jc w:val="left"/>
        </w:trPr>
        <w:tc>
          <w:tcPr>
            <w:tcW w:w="4037" w:type="dxa"/>
            <w:tcBorders>
              <w:top w:val="single" w:color="000000" w:sz="0"/>
              <w:left w:val="single" w:color="000000" w:sz="0"/>
              <w:bottom w:val="single" w:color="000000" w:sz="0"/>
              <w:right w:val="single" w:color="000000" w:sz="0"/>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Социална услуга</w:t>
            </w:r>
          </w:p>
        </w:tc>
        <w:tc>
          <w:tcPr>
            <w:tcW w:w="5023" w:type="dxa"/>
            <w:tcBorders>
              <w:top w:val="single" w:color="000000" w:sz="0"/>
              <w:left w:val="single" w:color="000000" w:sz="0"/>
              <w:bottom w:val="single" w:color="000000" w:sz="0"/>
              <w:right w:val="single" w:color="000000" w:sz="0"/>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желаещи да ползват СУ</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от други общини, които ползват социални и интегрирани здравно-социални услуги на територията на община Аврен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 са регистрирани лица от други общини, ползващи наличните в община Аврен 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Аврен за последните 5 години</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Графиката очертава липсата на ясно изразена тенденция, по отношение на общия брой на населението в периода 2017- 2021 година. Видно е обаче, че през последните две години (2020-2021г.) от изследвания период има повишаване на общия брой на населението спрямо предходните три години. За жалост тази тенденция не се потвърждава през 2021 г., в която общият брой на населението на община Аврен е намалял с 165 души. Към 2021 година населението в трудоспособна възраст на територията на община Аврен надвишава това в под и надтрудоспособна възраст.</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в община Аврен са обезпечени с кадри необходими за предоставянето им. Към момента на настоящия анализ не са налице незаети длъжности на служители, извършващи дейности по социалната услуга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4301"/>
        </w:numPr>
        <w:tabs>
          <w:tab w:val="left" w:pos="862" w:leader="none"/>
          <w:tab w:val="left" w:pos="1430" w:leader="none"/>
        </w:tabs>
        <w:spacing w:before="0" w:after="0" w:line="240"/>
        <w:ind w:right="0" w:left="1430" w:hanging="576"/>
        <w:jc w:val="both"/>
        <w:rPr>
          <w:rFonts w:ascii="Times New Roman" w:hAnsi="Times New Roman" w:cs="Times New Roman" w:eastAsia="Times New Roman"/>
          <w:b/>
          <w:i/>
          <w:color w:val="003366"/>
          <w:spacing w:val="0"/>
          <w:position w:val="0"/>
          <w:sz w:val="28"/>
          <w:shd w:fill="auto" w:val="clear"/>
        </w:rPr>
      </w:pPr>
      <w:r>
        <w:rPr>
          <w:rFonts w:ascii="Times New Roman" w:hAnsi="Times New Roman" w:cs="Times New Roman" w:eastAsia="Times New Roman"/>
          <w:b/>
          <w:color w:val="003366"/>
          <w:spacing w:val="0"/>
          <w:position w:val="0"/>
          <w:sz w:val="28"/>
          <w:shd w:fill="auto" w:val="clear"/>
        </w:rPr>
        <w:t xml:space="preserve">ОБЩИНА АКСАКОВО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процеса на събиране на информация са включени данни от всички национални, регионални и местни административни структури. Този подход осигури достъп до всички необходими налични източници на информация за изготвянето на анализа на община Аксаково, като анализи, доклади, стратегически документи на национално, регионално и местно ниво; статистически бази-данни, редовно събирани и актуализирани от: НСИ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Преброяване 2021; РДСП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Варна; РУО към МОН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гр. Варна; РЗИ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Варна;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Варна;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Варна; Доставчици на социални услуги, предоставящи социални услуги на територията на община Аксаково; Служба ГРАО и отделите, отговорни за социални, образователни и хуманитарни дейности и др. официални източници на информация към община Аксаково.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Аксаково, към 31.12.2021 г. е 22 108 жители, от тях 3525 деца до 18-годишна възраст. Общият брой на лицата с трайни увреждания е 1568, от тях деца 97.</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Аксаково са разкрити 4 социални услуги, от тях 3 се предоставят в гр. Аксаково и 1 в с. Кичево. Общият капацитет на социалните услуги е за 132 потребители, в т.ч. 57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552"/>
        <w:gridCol w:w="2287"/>
        <w:gridCol w:w="1248"/>
        <w:gridCol w:w="2049"/>
        <w:gridCol w:w="924"/>
      </w:tblGrid>
      <w:tr>
        <w:trPr>
          <w:trHeight w:val="1" w:hRule="atLeast"/>
          <w:jc w:val="left"/>
        </w:trPr>
        <w:tc>
          <w:tcPr>
            <w:tcW w:w="255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rFonts w:ascii="Calibri" w:hAnsi="Calibri" w:cs="Calibri" w:eastAsia="Calibri"/>
                <w:color w:val="auto"/>
                <w:spacing w:val="0"/>
                <w:position w:val="0"/>
                <w:sz w:val="22"/>
                <w:shd w:fill="auto" w:val="clear"/>
              </w:rPr>
            </w:pPr>
          </w:p>
        </w:tc>
        <w:tc>
          <w:tcPr>
            <w:tcW w:w="228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124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204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ЦСРИПЛ</w:t>
            </w:r>
          </w:p>
        </w:tc>
        <w:tc>
          <w:tcPr>
            <w:tcW w:w="92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25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СУ</w:t>
            </w:r>
          </w:p>
        </w:tc>
        <w:tc>
          <w:tcPr>
            <w:tcW w:w="22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04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2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5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потребители</w:t>
            </w:r>
          </w:p>
        </w:tc>
        <w:tc>
          <w:tcPr>
            <w:tcW w:w="22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12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c>
          <w:tcPr>
            <w:tcW w:w="204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92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57</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Аксаково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Аксаково е 149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ЦСРИПЛ</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32</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59</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47</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Аксаково, различна от общината по настоящ адрес</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1"/>
        <w:gridCol w:w="4509"/>
      </w:tblGrid>
      <w:tr>
        <w:trPr>
          <w:trHeight w:val="1" w:hRule="atLeast"/>
          <w:jc w:val="left"/>
        </w:trPr>
        <w:tc>
          <w:tcPr>
            <w:tcW w:w="4541" w:type="dxa"/>
            <w:tcBorders>
              <w:top w:val="single" w:color="000000" w:sz="4"/>
              <w:left w:val="single" w:color="000000" w:sz="8"/>
              <w:bottom w:val="single" w:color="000000" w:sz="4"/>
              <w:right w:val="single" w:color="000000" w:sz="8"/>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09" w:type="dxa"/>
            <w:tcBorders>
              <w:top w:val="single" w:color="000000" w:sz="4"/>
              <w:left w:val="single" w:color="000000" w:sz="0"/>
              <w:bottom w:val="single" w:color="000000" w:sz="4"/>
              <w:right w:val="single" w:color="000000" w:sz="8"/>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1" w:type="dxa"/>
            <w:tcBorders>
              <w:top w:val="single" w:color="000000" w:sz="4"/>
              <w:left w:val="single" w:color="000000" w:sz="8"/>
              <w:bottom w:val="single" w:color="000000" w:sz="8"/>
              <w:right w:val="single" w:color="000000" w:sz="8"/>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4509" w:type="dxa"/>
            <w:tcBorders>
              <w:top w:val="single" w:color="000000" w:sz="4"/>
              <w:left w:val="single" w:color="000000" w:sz="0"/>
              <w:bottom w:val="single" w:color="000000" w:sz="8"/>
              <w:right w:val="single" w:color="000000" w:sz="8"/>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Аксаково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Въпреки отчетеното нарастване на общата смъртност, графиката показва плавно нарастване на общия брой на населението на общината, което се дължи на нарастващия дял на раждаемостта през последните 5 години, както и на немалкия брой заселени лица на територията на общината. Все още се запазва тенденцията обаче на отрицателен естествен прираст, като същият варира през периода 2017-2021 година от -209 до -259. Според данни на НСИ за периода 2017-2021 г. коефициентът на механичен прираст за общината е положителен през последните три години, т.е. заселилите се са повече от изселилите се, което от своя страна е ясен показател, че община Аксаково е създала необходимите условия за задържане на човешкия ресурс на територията й и привличане на нови жители. Проследявайки тенденциите в демографската структура на населението на територията на община Аксаково, ясно се вижда, че наличието на отрицателен естествен прираст, повишаването на смъртността и застаряването на населението не могат да бъдат компенсирани от регистрираното леко повишаване на раждаемостта през последните три години, което в бъдещ план би довело до генерирането на различни и трудно преодолими специфични препятствия пред развитието на общината.</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момента на извършване на настоящия анализ няма незаети длъжности, въпреки това обаче и в община Аксаково се наблюдава общото явление за трудно намиране на квалифицирани и добре мотивирани кадри за работа в социалната сфера.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4334"/>
        </w:numPr>
        <w:tabs>
          <w:tab w:val="left" w:pos="862" w:leader="none"/>
          <w:tab w:val="left" w:pos="1430" w:leader="none"/>
        </w:tabs>
        <w:spacing w:before="0" w:after="0" w:line="240"/>
        <w:ind w:right="0" w:left="1430" w:hanging="576"/>
        <w:jc w:val="both"/>
        <w:rPr>
          <w:rFonts w:ascii="Times New Roman" w:hAnsi="Times New Roman" w:cs="Times New Roman" w:eastAsia="Times New Roman"/>
          <w:b/>
          <w:i/>
          <w:color w:val="003366"/>
          <w:spacing w:val="0"/>
          <w:position w:val="0"/>
          <w:sz w:val="28"/>
          <w:shd w:fill="auto" w:val="clear"/>
        </w:rPr>
      </w:pPr>
      <w:r>
        <w:rPr>
          <w:rFonts w:ascii="Times New Roman" w:hAnsi="Times New Roman" w:cs="Times New Roman" w:eastAsia="Times New Roman"/>
          <w:b/>
          <w:color w:val="003366"/>
          <w:spacing w:val="0"/>
          <w:position w:val="0"/>
          <w:sz w:val="28"/>
          <w:shd w:fill="auto" w:val="clear"/>
        </w:rPr>
        <w:t xml:space="preserve">ОБЩИНА БЕЛОСЛАВ</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Белослав, информацията за настоящия анализ е получена от следните източници: НСИ, ДСП-Девня,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Варна, РЗИ-Варна, както и бази-данни, редовно събирани и актуализирани от общинска администрация Белослав.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Белослав, към 31.12.2021 г. е 10147 жители, от тях 1750 деца до 18-годишна възраст. Общият брой на лицата с трайни увреждания е 1031, от тях деца 36.</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Белослав има една действаща социална услуга, държавно делегирана дейност по чл. 15, т. 10 от ЗСУ и тя 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Чрез социалната услуга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Асистентска подкрепа” се обгрижват 37 потребители, въпреки че видно от данните, броят потребители при създаването на социалната услуга е 27 броя. Поради регистрираните чакащи лица и големия интерес към единствената съществуваща социална услуга на територията на общината, към момента на извършване на анализа, ползватели на визираната услуга са 37 души, отговарящи на профила на социалната услуга, съгласно ЗСУ.</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tbl>
      <w:tblPr/>
      <w:tblGrid>
        <w:gridCol w:w="6708"/>
        <w:gridCol w:w="2352"/>
      </w:tblGrid>
      <w:tr>
        <w:trPr>
          <w:trHeight w:val="1" w:hRule="atLeast"/>
          <w:jc w:val="left"/>
        </w:trPr>
        <w:tc>
          <w:tcPr>
            <w:tcW w:w="6708" w:type="dxa"/>
            <w:tcBorders>
              <w:top w:val="single" w:color="000000" w:sz="0"/>
              <w:left w:val="single" w:color="000000" w:sz="0"/>
              <w:bottom w:val="single" w:color="000000" w:sz="0"/>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352" w:type="dxa"/>
            <w:tcBorders>
              <w:top w:val="single" w:color="000000" w:sz="0"/>
              <w:left w:val="single" w:color="000000" w:sz="4"/>
              <w:bottom w:val="single" w:color="000000" w:sz="0"/>
              <w:right w:val="single" w:color="000000" w:sz="0"/>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67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СУ</w:t>
            </w:r>
          </w:p>
        </w:tc>
        <w:tc>
          <w:tcPr>
            <w:tcW w:w="23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67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потребители</w:t>
            </w:r>
          </w:p>
        </w:tc>
        <w:tc>
          <w:tcPr>
            <w:tcW w:w="23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27</w:t>
            </w:r>
          </w:p>
        </w:tc>
      </w:tr>
    </w:tbl>
    <w:p>
      <w:pPr>
        <w:spacing w:before="0" w:after="0" w:line="240"/>
        <w:ind w:right="0" w:left="0" w:firstLine="0"/>
        <w:jc w:val="both"/>
        <w:rPr>
          <w:rFonts w:ascii="Times New Roman" w:hAnsi="Times New Roman" w:cs="Times New Roman" w:eastAsia="Times New Roman"/>
          <w:b/>
          <w:i/>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Белослав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социалната услуга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Асистентска подкрепа“ на територията на община Белослав е 8 лица, които респективно са регистрирани в регистъра на чакащите.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Социална услуга</w:t>
            </w:r>
          </w:p>
        </w:tc>
        <w:tc>
          <w:tcPr>
            <w:tcW w:w="5900" w:type="dxa"/>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0"/>
              <w:bottom w:val="single" w:color="000000" w:sz="0"/>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bl>
    <w:p>
      <w:pPr>
        <w:spacing w:before="0" w:after="0" w:line="240"/>
        <w:ind w:right="0" w:left="0" w:firstLine="0"/>
        <w:jc w:val="both"/>
        <w:rPr>
          <w:rFonts w:ascii="Times New Roman" w:hAnsi="Times New Roman" w:cs="Times New Roman" w:eastAsia="Times New Roman"/>
          <w:b/>
          <w:i/>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Белослав,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Белослав, няма потребители от други общини ползващи социални услуги и интегрирани здравно-социални услуги.</w:t>
      </w:r>
    </w:p>
    <w:p>
      <w:pPr>
        <w:spacing w:before="0" w:after="0" w:line="240"/>
        <w:ind w:right="0" w:left="0" w:firstLine="0"/>
        <w:jc w:val="both"/>
        <w:rPr>
          <w:rFonts w:ascii="Times New Roman" w:hAnsi="Times New Roman" w:cs="Times New Roman" w:eastAsia="Times New Roman"/>
          <w:b/>
          <w:i/>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Белослав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резултат на установилите се през последните години неблагоприятни тенденции в развитието на демографските процеси, броят на населението продължава да намалява. </w:t>
      </w:r>
      <w:r>
        <w:rPr>
          <w:rFonts w:ascii="Times New Roman" w:hAnsi="Times New Roman" w:cs="Times New Roman" w:eastAsia="Times New Roman"/>
          <w:color w:val="000000"/>
          <w:spacing w:val="0"/>
          <w:position w:val="0"/>
          <w:sz w:val="24"/>
          <w:shd w:fill="auto" w:val="clear"/>
        </w:rPr>
        <w:t xml:space="preserve">Най-сериозните проблеми на общината са свързани с намаляващото и застаряващо население.</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Показателите за механичния прираст на населението показват запазване на тенденцията за увеличаване на външните миграции, предизвикани от неблагоприятната икономическа обстановка и високия процент на безработица. Направленията на  миграция са от селата към общинския и областен център, както и към по-големите градове в региона за планиране, също така не малки потоци от изселили се лица към столицата и чужбина.  </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Възрастовата структура на населението е определяща, както за количеството и качеството на човешките ресурси в общината, но също така за демографския ѝ потенциал и не на последно място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за натовареността на социалната система на общината. Тя е с определящо значение и за естественото възпроизводство на населението. Изцяло възрастовата структура на населението в изследваните територии е от регресивен тип. Изменението във възрастовия състав на населението е от решаващо значение за формирането на трудовия потенциал на общината. Спад в броя се наблюдава във всички възрастови групи.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Белослав в качеството ѝ на доставчик на социални услуги, осигурява професионално и кариерно развитие на служителите, работещи в услугите чрез включване в обучения, свързани с предоставянето на социални услуги, екипни и индивидуални супервизии. Към момента на извършване на анализа няма незаети работни места в сферата на социалните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4353"/>
        </w:numPr>
        <w:tabs>
          <w:tab w:val="left" w:pos="862" w:leader="none"/>
          <w:tab w:val="left" w:pos="1430" w:leader="none"/>
        </w:tabs>
        <w:spacing w:before="0" w:after="0" w:line="240"/>
        <w:ind w:right="0" w:left="1430" w:hanging="576"/>
        <w:jc w:val="both"/>
        <w:rPr>
          <w:rFonts w:ascii="Times New Roman" w:hAnsi="Times New Roman" w:cs="Times New Roman" w:eastAsia="Times New Roman"/>
          <w:b/>
          <w:i/>
          <w:color w:val="003366"/>
          <w:spacing w:val="0"/>
          <w:position w:val="0"/>
          <w:sz w:val="28"/>
          <w:shd w:fill="auto" w:val="clear"/>
        </w:rPr>
      </w:pPr>
      <w:r>
        <w:rPr>
          <w:rFonts w:ascii="Times New Roman" w:hAnsi="Times New Roman" w:cs="Times New Roman" w:eastAsia="Times New Roman"/>
          <w:b/>
          <w:color w:val="003366"/>
          <w:spacing w:val="0"/>
          <w:position w:val="0"/>
          <w:sz w:val="28"/>
          <w:shd w:fill="auto" w:val="clear"/>
        </w:rPr>
        <w:t xml:space="preserve">ОБЩИНА БЯЛА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Бяла е използвала данни от преброяване на населението през 2021 г., на Република България,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Долни чифлик, както и информация, получена от социалните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Бяла, към 31.12.2021 г. е 3420 жители, от тях 529 деца до 18-годишна възраст. Общият брой на лицата с трайни увреждания е 277, от тях деца 9.</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Съществуващите социални услуги на територията на община Бяла, които са държавно делегирана дейност са 2 с общ брой потребители 19.</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353"/>
        <w:gridCol w:w="1578"/>
        <w:gridCol w:w="3129"/>
      </w:tblGrid>
      <w:tr>
        <w:trPr>
          <w:trHeight w:val="1" w:hRule="atLeast"/>
          <w:jc w:val="left"/>
        </w:trPr>
        <w:tc>
          <w:tcPr>
            <w:tcW w:w="4353" w:type="dxa"/>
            <w:tcBorders>
              <w:top w:val="single" w:color="000000" w:sz="0"/>
              <w:left w:val="single" w:color="000000" w:sz="0"/>
              <w:bottom w:val="single" w:color="000000" w:sz="0"/>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578" w:type="dxa"/>
            <w:tcBorders>
              <w:top w:val="single" w:color="000000" w:sz="0"/>
              <w:left w:val="single" w:color="000000" w:sz="4"/>
              <w:bottom w:val="single" w:color="000000" w:sz="0"/>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3129" w:type="dxa"/>
            <w:tcBorders>
              <w:top w:val="single" w:color="000000" w:sz="0"/>
              <w:left w:val="single" w:color="000000" w:sz="4"/>
              <w:bottom w:val="single" w:color="000000" w:sz="0"/>
              <w:right w:val="single" w:color="000000" w:sz="0"/>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ЗЖЛФУ</w:t>
            </w:r>
          </w:p>
        </w:tc>
      </w:tr>
      <w:tr>
        <w:trPr>
          <w:trHeight w:val="1" w:hRule="atLeast"/>
          <w:jc w:val="left"/>
        </w:trPr>
        <w:tc>
          <w:tcPr>
            <w:tcW w:w="435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СУ</w:t>
            </w:r>
          </w:p>
        </w:tc>
        <w:tc>
          <w:tcPr>
            <w:tcW w:w="157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312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35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потребители</w:t>
            </w:r>
          </w:p>
        </w:tc>
        <w:tc>
          <w:tcPr>
            <w:tcW w:w="157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c>
          <w:tcPr>
            <w:tcW w:w="312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bl>
    <w:p>
      <w:pPr>
        <w:spacing w:before="0" w:after="0" w:line="240"/>
        <w:ind w:right="0" w:left="0" w:firstLine="0"/>
        <w:jc w:val="both"/>
        <w:rPr>
          <w:rFonts w:ascii="Times New Roman" w:hAnsi="Times New Roman" w:cs="Times New Roman" w:eastAsia="Times New Roman"/>
          <w:b/>
          <w:i/>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Бяла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Бяла няма регистрирани желаещи/чакащи за настаняване в предоставяните държавно делегирани социални услуги от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Бяла,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 са налице и потребители, от други общини, които да ползват съществуващите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Бяла за последните 5 години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резултат на установилите се през последните години неблагоприятни тенденции в развитието на демографските процеси, броят на населението продължава да намалява. </w:t>
      </w:r>
      <w:r>
        <w:rPr>
          <w:rFonts w:ascii="Times New Roman" w:hAnsi="Times New Roman" w:cs="Times New Roman" w:eastAsia="Times New Roman"/>
          <w:color w:val="000000"/>
          <w:spacing w:val="0"/>
          <w:position w:val="0"/>
          <w:sz w:val="24"/>
          <w:shd w:fill="auto" w:val="clear"/>
        </w:rPr>
        <w:t xml:space="preserve">Най-сериозните проблеми на общината са свързани с намаляващото и застаряващо население. </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Възрастовата структура на населението е определяща, както за количеството и качеството на човешките ресурси в общината, но също така за демографския ѝ потенциал и не на последно място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за натовареността на социалната система на общината. Тя е с определящо значение и за естественото възпроизводство на населението. Изцяло възрастовата структура на населението в изследваните територии е от регресивен тип. Изменението във възрастовия състав на населението е от решаващо значение за формирането на трудовия потенциал на общината. Спад в броя се наблюдава във всички възрастови групи. Показателите за механичния прираст на населението показват запазване на тенденцията за увеличаване на външните миграции, предизвикани от неблагоприятната икономическа обстановка и високия процент на безработица.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Бяла в качеството ѝ на доставчик на социални услуги, осигурява професионално и кариерно развитие на служителите, работещи в услугите чрез включване в обучения, свързани с предоставянето на социални услуги, екипни и индивидуални супервизии. Към момента на извършване на анализа няма незаети работни места в сферата на социалните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4364"/>
        </w:numPr>
        <w:tabs>
          <w:tab w:val="left" w:pos="862" w:leader="none"/>
          <w:tab w:val="left" w:pos="1430" w:leader="none"/>
        </w:tabs>
        <w:spacing w:before="0" w:after="0" w:line="240"/>
        <w:ind w:right="0" w:left="1430" w:hanging="576"/>
        <w:jc w:val="both"/>
        <w:rPr>
          <w:rFonts w:ascii="Times New Roman" w:hAnsi="Times New Roman" w:cs="Times New Roman" w:eastAsia="Times New Roman"/>
          <w:b/>
          <w:i/>
          <w:color w:val="003366"/>
          <w:spacing w:val="0"/>
          <w:position w:val="0"/>
          <w:sz w:val="28"/>
          <w:shd w:fill="auto" w:val="clear"/>
        </w:rPr>
      </w:pPr>
      <w:r>
        <w:rPr>
          <w:rFonts w:ascii="Times New Roman" w:hAnsi="Times New Roman" w:cs="Times New Roman" w:eastAsia="Times New Roman"/>
          <w:b/>
          <w:color w:val="003366"/>
          <w:spacing w:val="0"/>
          <w:position w:val="0"/>
          <w:sz w:val="28"/>
          <w:shd w:fill="auto" w:val="clear"/>
        </w:rPr>
        <w:t xml:space="preserve">ОБЩИНА ВАРНА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за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Настоящият анализ е основан на данни от Преброяване 2021г. и на информация от официални източници от регистри на Дирекция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Социално подпомагане“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Варна, регистри на социалните услуги на територията на община Варна, данни от Дирекция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Образование и младежки дейности“ и Дирекция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Здравеопазване“ на община Варна, Дирекция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Бюро по труда“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Варна. От Регионална здравна инспекция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Варна не е</w:t>
      </w:r>
      <w:r>
        <w:rPr>
          <w:rFonts w:ascii="Times New Roman" w:hAnsi="Times New Roman" w:cs="Times New Roman" w:eastAsia="Times New Roman"/>
          <w:color w:val="auto"/>
          <w:spacing w:val="0"/>
          <w:position w:val="0"/>
          <w:sz w:val="20"/>
          <w:shd w:fill="FFFFFF" w:val="clear"/>
        </w:rPr>
        <w:t xml:space="preserve"> </w:t>
      </w:r>
      <w:r>
        <w:rPr>
          <w:rFonts w:ascii="Times New Roman" w:hAnsi="Times New Roman" w:cs="Times New Roman" w:eastAsia="Times New Roman"/>
          <w:color w:val="auto"/>
          <w:spacing w:val="0"/>
          <w:position w:val="0"/>
          <w:sz w:val="24"/>
          <w:shd w:fill="FFFFFF" w:val="clear"/>
        </w:rPr>
        <w:t xml:space="preserve">предоставена информация, поради липса на функционалност на Информационната система за контрол на медицинската експертиза, с която работят.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Варна, към 31.12.2021 г. е 319 613 жители, от тях 53 495 деца до 18-годишна възраст. Общият брой на лицата с трайни увреждания е 26 132, от тях деца 1037.</w:t>
      </w:r>
    </w:p>
    <w:p>
      <w:pPr>
        <w:spacing w:before="0" w:after="0" w:line="240"/>
        <w:ind w:right="0" w:left="0" w:firstLine="708"/>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Съществуващите социални услуги, които функционират на територията на община Варна към момента на изготвянето на анализа и са изцяло делегирани от държавата дейности са 36 на брой, с общо 1334 брой потребители както следва:</w:t>
      </w:r>
    </w:p>
    <w:p>
      <w:pPr>
        <w:spacing w:before="0" w:after="0" w:line="240"/>
        <w:ind w:right="0" w:left="0" w:firstLine="708"/>
        <w:jc w:val="both"/>
        <w:rPr>
          <w:rFonts w:ascii="Times New Roman" w:hAnsi="Times New Roman" w:cs="Times New Roman" w:eastAsia="Times New Roman"/>
          <w:color w:val="auto"/>
          <w:spacing w:val="0"/>
          <w:position w:val="0"/>
          <w:sz w:val="20"/>
          <w:shd w:fill="auto" w:val="clear"/>
        </w:rPr>
      </w:pPr>
    </w:p>
    <w:tbl>
      <w:tblPr/>
      <w:tblGrid>
        <w:gridCol w:w="1829"/>
        <w:gridCol w:w="1494"/>
        <w:gridCol w:w="1308"/>
        <w:gridCol w:w="1723"/>
        <w:gridCol w:w="1238"/>
        <w:gridCol w:w="1468"/>
      </w:tblGrid>
      <w:tr>
        <w:trPr>
          <w:trHeight w:val="264" w:hRule="auto"/>
          <w:jc w:val="left"/>
        </w:trPr>
        <w:tc>
          <w:tcPr>
            <w:tcW w:w="182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rFonts w:ascii="Calibri" w:hAnsi="Calibri" w:cs="Calibri" w:eastAsia="Calibri"/>
                <w:color w:val="auto"/>
                <w:spacing w:val="0"/>
                <w:position w:val="0"/>
                <w:sz w:val="22"/>
                <w:shd w:fill="auto" w:val="clear"/>
              </w:rPr>
            </w:pPr>
          </w:p>
        </w:tc>
        <w:tc>
          <w:tcPr>
            <w:tcW w:w="149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ДЦПЛУИ</w:t>
            </w:r>
          </w:p>
        </w:tc>
        <w:tc>
          <w:tcPr>
            <w:tcW w:w="130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ДЦДМУ</w:t>
            </w:r>
          </w:p>
        </w:tc>
        <w:tc>
          <w:tcPr>
            <w:tcW w:w="172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ДЦПЛТМУ</w:t>
            </w:r>
          </w:p>
        </w:tc>
        <w:tc>
          <w:tcPr>
            <w:tcW w:w="123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ЦСРИД</w:t>
            </w:r>
          </w:p>
        </w:tc>
        <w:tc>
          <w:tcPr>
            <w:tcW w:w="146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ЦСРИПЛ</w:t>
            </w:r>
          </w:p>
        </w:tc>
      </w:tr>
      <w:tr>
        <w:trPr>
          <w:trHeight w:val="264" w:hRule="auto"/>
          <w:jc w:val="left"/>
        </w:trPr>
        <w:tc>
          <w:tcPr>
            <w:tcW w:w="182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Брой СУ</w:t>
            </w:r>
          </w:p>
        </w:tc>
        <w:tc>
          <w:tcPr>
            <w:tcW w:w="149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2</w:t>
            </w:r>
          </w:p>
        </w:tc>
        <w:tc>
          <w:tcPr>
            <w:tcW w:w="13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1</w:t>
            </w:r>
          </w:p>
        </w:tc>
        <w:tc>
          <w:tcPr>
            <w:tcW w:w="17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1</w:t>
            </w:r>
          </w:p>
        </w:tc>
        <w:tc>
          <w:tcPr>
            <w:tcW w:w="123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4</w:t>
            </w:r>
          </w:p>
        </w:tc>
        <w:tc>
          <w:tcPr>
            <w:tcW w:w="146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5</w:t>
            </w:r>
          </w:p>
        </w:tc>
      </w:tr>
      <w:tr>
        <w:trPr>
          <w:trHeight w:val="372" w:hRule="auto"/>
          <w:jc w:val="left"/>
        </w:trPr>
        <w:tc>
          <w:tcPr>
            <w:tcW w:w="182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Брой потребители</w:t>
            </w:r>
          </w:p>
        </w:tc>
        <w:tc>
          <w:tcPr>
            <w:tcW w:w="149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60</w:t>
            </w:r>
          </w:p>
        </w:tc>
        <w:tc>
          <w:tcPr>
            <w:tcW w:w="13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40</w:t>
            </w:r>
          </w:p>
        </w:tc>
        <w:tc>
          <w:tcPr>
            <w:tcW w:w="17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30</w:t>
            </w:r>
          </w:p>
        </w:tc>
        <w:tc>
          <w:tcPr>
            <w:tcW w:w="123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190</w:t>
            </w:r>
          </w:p>
        </w:tc>
        <w:tc>
          <w:tcPr>
            <w:tcW w:w="146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170</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tbl>
      <w:tblPr/>
      <w:tblGrid>
        <w:gridCol w:w="1613"/>
        <w:gridCol w:w="1448"/>
        <w:gridCol w:w="1448"/>
        <w:gridCol w:w="1448"/>
        <w:gridCol w:w="756"/>
        <w:gridCol w:w="959"/>
        <w:gridCol w:w="739"/>
        <w:gridCol w:w="649"/>
      </w:tblGrid>
      <w:tr>
        <w:trPr>
          <w:trHeight w:val="197" w:hRule="auto"/>
          <w:jc w:val="left"/>
        </w:trPr>
        <w:tc>
          <w:tcPr>
            <w:tcW w:w="1613" w:type="dxa"/>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448" w:type="dxa"/>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60" w:line="240"/>
              <w:ind w:right="0" w:left="0" w:firstLine="0"/>
              <w:jc w:val="center"/>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ЦОП</w:t>
            </w:r>
          </w:p>
        </w:tc>
        <w:tc>
          <w:tcPr>
            <w:tcW w:w="1448" w:type="dxa"/>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60" w:line="240"/>
              <w:ind w:right="0" w:left="0" w:firstLine="0"/>
              <w:jc w:val="center"/>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ЦНСТДМ</w:t>
            </w:r>
          </w:p>
        </w:tc>
        <w:tc>
          <w:tcPr>
            <w:tcW w:w="1448" w:type="dxa"/>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60" w:line="240"/>
              <w:ind w:right="0" w:left="0" w:firstLine="0"/>
              <w:jc w:val="center"/>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ЦНСТДБУ</w:t>
            </w:r>
          </w:p>
        </w:tc>
        <w:tc>
          <w:tcPr>
            <w:tcW w:w="756" w:type="dxa"/>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60" w:line="240"/>
              <w:ind w:right="0" w:left="0" w:firstLine="0"/>
              <w:jc w:val="center"/>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КЦД</w:t>
            </w:r>
          </w:p>
        </w:tc>
        <w:tc>
          <w:tcPr>
            <w:tcW w:w="959" w:type="dxa"/>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60" w:line="240"/>
              <w:ind w:right="0" w:left="0" w:firstLine="0"/>
              <w:jc w:val="center"/>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КЦПЛ</w:t>
            </w:r>
          </w:p>
        </w:tc>
        <w:tc>
          <w:tcPr>
            <w:tcW w:w="739" w:type="dxa"/>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60" w:line="240"/>
              <w:ind w:right="0" w:left="0" w:firstLine="0"/>
              <w:jc w:val="center"/>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ЗМБ</w:t>
            </w:r>
          </w:p>
        </w:tc>
        <w:tc>
          <w:tcPr>
            <w:tcW w:w="649" w:type="dxa"/>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60" w:line="240"/>
              <w:ind w:right="0" w:left="0" w:firstLine="0"/>
              <w:jc w:val="center"/>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НЖ</w:t>
            </w:r>
          </w:p>
        </w:tc>
      </w:tr>
      <w:tr>
        <w:trPr>
          <w:trHeight w:val="197" w:hRule="auto"/>
          <w:jc w:val="left"/>
        </w:trPr>
        <w:tc>
          <w:tcPr>
            <w:tcW w:w="1613" w:type="dxa"/>
            <w:tcBorders>
              <w:top w:val="single" w:color="000000" w:sz="4"/>
              <w:left w:val="single" w:color="000000" w:sz="0"/>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Брой СУ</w:t>
            </w:r>
          </w:p>
        </w:tc>
        <w:tc>
          <w:tcPr>
            <w:tcW w:w="14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4</w:t>
            </w:r>
          </w:p>
        </w:tc>
        <w:tc>
          <w:tcPr>
            <w:tcW w:w="14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6</w:t>
            </w:r>
          </w:p>
        </w:tc>
        <w:tc>
          <w:tcPr>
            <w:tcW w:w="14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3</w:t>
            </w:r>
          </w:p>
        </w:tc>
        <w:tc>
          <w:tcPr>
            <w:tcW w:w="75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1</w:t>
            </w:r>
          </w:p>
        </w:tc>
        <w:tc>
          <w:tcPr>
            <w:tcW w:w="95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1</w:t>
            </w:r>
          </w:p>
        </w:tc>
        <w:tc>
          <w:tcPr>
            <w:tcW w:w="7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1</w:t>
            </w:r>
          </w:p>
        </w:tc>
        <w:tc>
          <w:tcPr>
            <w:tcW w:w="64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1</w:t>
            </w:r>
          </w:p>
        </w:tc>
      </w:tr>
      <w:tr>
        <w:trPr>
          <w:trHeight w:val="358" w:hRule="auto"/>
          <w:jc w:val="left"/>
        </w:trPr>
        <w:tc>
          <w:tcPr>
            <w:tcW w:w="1613" w:type="dxa"/>
            <w:tcBorders>
              <w:top w:val="single" w:color="000000" w:sz="4"/>
              <w:left w:val="single" w:color="000000" w:sz="0"/>
              <w:bottom w:val="single" w:color="000000" w:sz="0"/>
              <w:right w:val="single" w:color="000000" w:sz="4"/>
            </w:tcBorders>
            <w:shd w:color="auto" w:fill="auto"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Брой потребители</w:t>
            </w:r>
          </w:p>
        </w:tc>
        <w:tc>
          <w:tcPr>
            <w:tcW w:w="14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270</w:t>
            </w:r>
          </w:p>
        </w:tc>
        <w:tc>
          <w:tcPr>
            <w:tcW w:w="14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80</w:t>
            </w:r>
          </w:p>
        </w:tc>
        <w:tc>
          <w:tcPr>
            <w:tcW w:w="14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36</w:t>
            </w:r>
          </w:p>
        </w:tc>
        <w:tc>
          <w:tcPr>
            <w:tcW w:w="75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20</w:t>
            </w:r>
          </w:p>
        </w:tc>
        <w:tc>
          <w:tcPr>
            <w:tcW w:w="95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10</w:t>
            </w:r>
          </w:p>
        </w:tc>
        <w:tc>
          <w:tcPr>
            <w:tcW w:w="7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8</w:t>
            </w:r>
          </w:p>
        </w:tc>
        <w:tc>
          <w:tcPr>
            <w:tcW w:w="64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4</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tbl>
      <w:tblPr/>
      <w:tblGrid>
        <w:gridCol w:w="1812"/>
        <w:gridCol w:w="1812"/>
        <w:gridCol w:w="1812"/>
        <w:gridCol w:w="1812"/>
        <w:gridCol w:w="1812"/>
      </w:tblGrid>
      <w:tr>
        <w:trPr>
          <w:trHeight w:val="197" w:hRule="auto"/>
          <w:jc w:val="left"/>
        </w:trPr>
        <w:tc>
          <w:tcPr>
            <w:tcW w:w="1812" w:type="dxa"/>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812" w:type="dxa"/>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ЗЖЛПР</w:t>
            </w:r>
          </w:p>
        </w:tc>
        <w:tc>
          <w:tcPr>
            <w:tcW w:w="1812" w:type="dxa"/>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ЗЖЛУИ</w:t>
            </w:r>
          </w:p>
        </w:tc>
        <w:tc>
          <w:tcPr>
            <w:tcW w:w="1812" w:type="dxa"/>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АП</w:t>
            </w:r>
          </w:p>
        </w:tc>
        <w:tc>
          <w:tcPr>
            <w:tcW w:w="1812" w:type="dxa"/>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ДСХ</w:t>
            </w:r>
          </w:p>
        </w:tc>
      </w:tr>
      <w:tr>
        <w:trPr>
          <w:trHeight w:val="197" w:hRule="auto"/>
          <w:jc w:val="left"/>
        </w:trPr>
        <w:tc>
          <w:tcPr>
            <w:tcW w:w="1812" w:type="dxa"/>
            <w:tcBorders>
              <w:top w:val="single" w:color="000000" w:sz="4"/>
              <w:left w:val="single" w:color="000000" w:sz="0"/>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Брой СУ</w:t>
            </w:r>
          </w:p>
        </w:tc>
        <w:tc>
          <w:tcPr>
            <w:tcW w:w="18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1</w:t>
            </w:r>
          </w:p>
        </w:tc>
        <w:tc>
          <w:tcPr>
            <w:tcW w:w="18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2</w:t>
            </w:r>
          </w:p>
        </w:tc>
        <w:tc>
          <w:tcPr>
            <w:tcW w:w="18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1</w:t>
            </w:r>
          </w:p>
        </w:tc>
        <w:tc>
          <w:tcPr>
            <w:tcW w:w="18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2</w:t>
            </w:r>
          </w:p>
        </w:tc>
      </w:tr>
      <w:tr>
        <w:trPr>
          <w:trHeight w:val="358" w:hRule="auto"/>
          <w:jc w:val="left"/>
        </w:trPr>
        <w:tc>
          <w:tcPr>
            <w:tcW w:w="1812" w:type="dxa"/>
            <w:tcBorders>
              <w:top w:val="single" w:color="000000" w:sz="4"/>
              <w:left w:val="single" w:color="000000" w:sz="0"/>
              <w:bottom w:val="single" w:color="000000" w:sz="0"/>
              <w:right w:val="single" w:color="000000" w:sz="4"/>
            </w:tcBorders>
            <w:shd w:color="auto" w:fill="auto" w:val="clear"/>
            <w:tcMar>
              <w:left w:w="108" w:type="dxa"/>
              <w:right w:w="108" w:type="dxa"/>
            </w:tcMar>
            <w:vAlign w:val="top"/>
          </w:tcPr>
          <w:p>
            <w:pPr>
              <w:spacing w:before="0" w:after="60" w:line="240"/>
              <w:ind w:right="0" w:left="0" w:firstLine="0"/>
              <w:jc w:val="both"/>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Брой потребители</w:t>
            </w:r>
          </w:p>
        </w:tc>
        <w:tc>
          <w:tcPr>
            <w:tcW w:w="18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8</w:t>
            </w:r>
          </w:p>
        </w:tc>
        <w:tc>
          <w:tcPr>
            <w:tcW w:w="18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10</w:t>
            </w:r>
          </w:p>
        </w:tc>
        <w:tc>
          <w:tcPr>
            <w:tcW w:w="18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728</w:t>
            </w:r>
          </w:p>
        </w:tc>
        <w:tc>
          <w:tcPr>
            <w:tcW w:w="18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143</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Варна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желаещи да ползват социални услуги, които функционират на територията на общината е 28, както следва: 9 желаещи за Дом за стари хора, 3 желаещи за Защитено жилище за лица с психични разстройства /жени/, 1 желаещ за Център за настаняване от семеен тип за деца и младежи с увреждания и 15 желаещи за Дневен център за пълнолетни лица с увреждания.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58"/>
        <w:gridCol w:w="5902"/>
      </w:tblGrid>
      <w:tr>
        <w:trPr>
          <w:trHeight w:val="274" w:hRule="auto"/>
          <w:jc w:val="left"/>
        </w:trPr>
        <w:tc>
          <w:tcPr>
            <w:tcW w:w="3158" w:type="dxa"/>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Социална услуга</w:t>
            </w:r>
          </w:p>
        </w:tc>
        <w:tc>
          <w:tcPr>
            <w:tcW w:w="5902" w:type="dxa"/>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желаещи да ползват СУ</w:t>
            </w:r>
          </w:p>
        </w:tc>
      </w:tr>
      <w:tr>
        <w:trPr>
          <w:trHeight w:val="274" w:hRule="auto"/>
          <w:jc w:val="left"/>
        </w:trPr>
        <w:tc>
          <w:tcPr>
            <w:tcW w:w="3158" w:type="dxa"/>
            <w:tcBorders>
              <w:top w:val="single" w:color="000000" w:sz="4"/>
              <w:left w:val="single" w:color="000000" w:sz="0"/>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590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r>
      <w:tr>
        <w:trPr>
          <w:trHeight w:val="274" w:hRule="auto"/>
          <w:jc w:val="left"/>
        </w:trPr>
        <w:tc>
          <w:tcPr>
            <w:tcW w:w="3158" w:type="dxa"/>
            <w:tcBorders>
              <w:top w:val="single" w:color="000000" w:sz="4"/>
              <w:left w:val="single" w:color="000000" w:sz="0"/>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ЗЖЛПР</w:t>
            </w:r>
          </w:p>
        </w:tc>
        <w:tc>
          <w:tcPr>
            <w:tcW w:w="590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274" w:hRule="auto"/>
          <w:jc w:val="left"/>
        </w:trPr>
        <w:tc>
          <w:tcPr>
            <w:tcW w:w="3158" w:type="dxa"/>
            <w:tcBorders>
              <w:top w:val="single" w:color="000000" w:sz="4"/>
              <w:left w:val="single" w:color="000000" w:sz="0"/>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ЦНСТПДМУ</w:t>
            </w:r>
          </w:p>
        </w:tc>
        <w:tc>
          <w:tcPr>
            <w:tcW w:w="590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274" w:hRule="auto"/>
          <w:jc w:val="left"/>
        </w:trPr>
        <w:tc>
          <w:tcPr>
            <w:tcW w:w="3158" w:type="dxa"/>
            <w:tcBorders>
              <w:top w:val="single" w:color="000000" w:sz="4"/>
              <w:left w:val="single" w:color="000000" w:sz="0"/>
              <w:bottom w:val="single" w:color="000000" w:sz="0"/>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590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Варна, различна от общината по настоящ адрес</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КЦ</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КЦД</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w:t>
            </w:r>
          </w:p>
        </w:tc>
      </w:tr>
    </w:tbl>
    <w:p>
      <w:pPr>
        <w:spacing w:before="0" w:after="0" w:line="240"/>
        <w:ind w:right="0" w:left="0" w:firstLine="0"/>
        <w:jc w:val="left"/>
        <w:rPr>
          <w:rFonts w:ascii="Times New Roman" w:hAnsi="Times New Roman" w:cs="Times New Roman" w:eastAsia="Times New Roman"/>
          <w:b/>
          <w:i/>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Варна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Населението на община Варна, по данни на НСИ, наброява </w:t>
      </w:r>
      <w:r>
        <w:rPr>
          <w:rFonts w:ascii="Times New Roman" w:hAnsi="Times New Roman" w:cs="Times New Roman" w:eastAsia="Times New Roman"/>
          <w:color w:val="000000"/>
          <w:spacing w:val="0"/>
          <w:position w:val="0"/>
          <w:sz w:val="24"/>
          <w:shd w:fill="auto" w:val="clear"/>
        </w:rPr>
        <w:t xml:space="preserve">319 613 </w:t>
      </w:r>
      <w:r>
        <w:rPr>
          <w:rFonts w:ascii="Times New Roman" w:hAnsi="Times New Roman" w:cs="Times New Roman" w:eastAsia="Times New Roman"/>
          <w:color w:val="auto"/>
          <w:spacing w:val="0"/>
          <w:position w:val="0"/>
          <w:sz w:val="24"/>
          <w:shd w:fill="auto" w:val="clear"/>
        </w:rPr>
        <w:t xml:space="preserve">души, като за периода 2017-2021 г. се наблюдават динамични тенденции в броя на лицата, населяващи града и селата от общината. </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Следва да се отбележи, че през 2020 г. се забелязва рязък спад в популацията от 3635 души, или с малко над процент: 1,05%. Това се дължи изключително на пандемията от COVID-19. Последиците от нея са свързани, както с директно отражение върху естествения прираст на населението, така и във всички други аспекти на едно общество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икономически, социални и политически, като през 2021 г. се отчита плавно повишаване броя на населението, поради повишаване на механичния прираст.</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Като подчертано градска община, Варна се характеризира с изключително силно урбанизирано население, като съгласно данните на НСИ за 2021 г. 3</w:t>
      </w:r>
      <w:r>
        <w:rPr>
          <w:rFonts w:ascii="Times New Roman" w:hAnsi="Times New Roman" w:cs="Times New Roman" w:eastAsia="Times New Roman"/>
          <w:color w:val="auto"/>
          <w:spacing w:val="0"/>
          <w:position w:val="0"/>
          <w:sz w:val="24"/>
          <w:shd w:fill="auto" w:val="clear"/>
        </w:rPr>
        <w:t xml:space="preserve">10 562</w:t>
      </w:r>
      <w:r>
        <w:rPr>
          <w:rFonts w:ascii="Times New Roman" w:hAnsi="Times New Roman" w:cs="Times New Roman" w:eastAsia="Times New Roman"/>
          <w:color w:val="000000"/>
          <w:spacing w:val="0"/>
          <w:position w:val="0"/>
          <w:sz w:val="24"/>
          <w:shd w:fill="auto" w:val="clear"/>
        </w:rPr>
        <w:t xml:space="preserve"> души са уседнали в градската част на общината, а 9051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в селската (изпълняващи роля по-скоро на квартали на самия град).</w:t>
      </w:r>
    </w:p>
    <w:p>
      <w:pPr>
        <w:spacing w:before="0" w:after="0" w:line="240"/>
        <w:ind w:right="0" w:left="0" w:firstLine="0"/>
        <w:jc w:val="both"/>
        <w:rPr>
          <w:rFonts w:ascii="Times New Roman" w:hAnsi="Times New Roman" w:cs="Times New Roman" w:eastAsia="Times New Roman"/>
          <w:b/>
          <w:i/>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Увеличаването на популацията в общината до 2019 г. се отразява на ниво уседналост и в град Варна и в селата, като за периода 2017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2021 </w:t>
      </w:r>
      <w:r>
        <w:rPr>
          <w:rFonts w:ascii="Times New Roman" w:hAnsi="Times New Roman" w:cs="Times New Roman" w:eastAsia="Times New Roman"/>
          <w:color w:val="000000"/>
          <w:spacing w:val="0"/>
          <w:position w:val="0"/>
          <w:sz w:val="24"/>
          <w:shd w:fill="auto" w:val="clear"/>
        </w:rPr>
        <w:t xml:space="preserve">г. населението на градската част е нараснало с 0,11%, към 1,23% за селската, тъй като близката локация на селата до самия град ги прави привлекателни за живеене. В допълнение, към 2020 г. редукцията е само в градската част, докато в селата нарастването на населението продължава, тъй като подобни локации се възприемат като по-сигурни и </w:t>
      </w:r>
      <w:r>
        <w:rPr>
          <w:rFonts w:ascii="Times New Roman" w:hAnsi="Times New Roman" w:cs="Times New Roman" w:eastAsia="Times New Roman"/>
          <w:color w:val="auto"/>
          <w:spacing w:val="0"/>
          <w:position w:val="0"/>
          <w:sz w:val="24"/>
          <w:shd w:fill="auto" w:val="clear"/>
        </w:rPr>
        <w:t xml:space="preserve">изолирани зони за живеене в условията на пандемия.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Общият брой на служителите в социалните услуги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делегирани от държавата дейности по щатно разписание за община Варна е 668,3. </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 брой назначен персонал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506 /</w:t>
      </w:r>
      <w:r>
        <w:rPr>
          <w:rFonts w:ascii="Times New Roman" w:hAnsi="Times New Roman" w:cs="Times New Roman" w:eastAsia="Times New Roman"/>
          <w:color w:val="000000"/>
          <w:spacing w:val="0"/>
          <w:position w:val="0"/>
          <w:sz w:val="24"/>
          <w:shd w:fill="auto" w:val="clear"/>
        </w:rPr>
        <w:t xml:space="preserve">от които 94,5 асистенти по Асистентска подкрепа/ и 3,5 служители за администриране на услугата. </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 брой свободни длъжности: 168,5 /от които 150,5 от Асистентска подкрепа, останалите са 18/; </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Допълнително незает щат извън стандарта: 6,2</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За длъжността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Асистент“ в социалната услуга Асистентска подкрепа има незаети бройки, тъй като не е запълнен капацитетът на услугата с потребители. </w:t>
      </w:r>
      <w:r>
        <w:rPr>
          <w:rFonts w:ascii="Times New Roman" w:hAnsi="Times New Roman" w:cs="Times New Roman" w:eastAsia="Times New Roman"/>
          <w:color w:val="auto"/>
          <w:spacing w:val="0"/>
          <w:position w:val="0"/>
          <w:sz w:val="24"/>
          <w:shd w:fill="auto" w:val="clear"/>
        </w:rPr>
        <w:t xml:space="preserve">На територията на община Варна има длъжности, за които трудно се намират специалисти с необходимата квалификация и опит. Община Варна прави всичко необходимо за повишаване квалификацията на служителите в социалните услуги. Всички служители посещават курсове или обучения, участват в организирани супервизии в услугите, в които работят.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4448"/>
        </w:numPr>
        <w:tabs>
          <w:tab w:val="left" w:pos="862" w:leader="none"/>
          <w:tab w:val="left" w:pos="1430" w:leader="none"/>
        </w:tabs>
        <w:spacing w:before="0" w:after="0" w:line="240"/>
        <w:ind w:right="0" w:left="1430"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ВЕТРИНО</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Настоящата информация за населението по настоящ адрес е получена от СЗД, ГРАО и ДСП - Провадия.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Ветрино, към 31.12.2021 г. е 4508 жители, от тях 428 деца до 18-годишна възраст. Общия брой на лицата с трайни увреждания е 611, от тях деца 15.</w:t>
      </w:r>
    </w:p>
    <w:p>
      <w:pPr>
        <w:spacing w:before="0" w:after="0" w:line="240"/>
        <w:ind w:right="48" w:left="-15" w:firstLine="422"/>
        <w:jc w:val="both"/>
        <w:rPr>
          <w:rFonts w:ascii="Times New Roman" w:hAnsi="Times New Roman" w:cs="Times New Roman" w:eastAsia="Times New Roman"/>
          <w:color w:val="auto"/>
          <w:spacing w:val="0"/>
          <w:position w:val="0"/>
          <w:sz w:val="20"/>
          <w:shd w:fill="auto" w:val="clear"/>
        </w:rPr>
      </w:pPr>
    </w:p>
    <w:p>
      <w:pPr>
        <w:spacing w:before="0" w:after="0" w:line="240"/>
        <w:ind w:right="48" w:left="0" w:firstLine="0"/>
        <w:jc w:val="both"/>
        <w:rPr>
          <w:rFonts w:ascii="Times New Roman" w:hAnsi="Times New Roman" w:cs="Times New Roman" w:eastAsia="Times New Roman"/>
          <w:color w:val="000000"/>
          <w:spacing w:val="0"/>
          <w:position w:val="0"/>
          <w:sz w:val="20"/>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Ветрино разкритите и съществуващи социални услуги, които са делегирана държавна дейност са Асистентска подкрепа и Дом за стари хора.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976"/>
        <w:gridCol w:w="1805"/>
        <w:gridCol w:w="2279"/>
      </w:tblGrid>
      <w:tr>
        <w:trPr>
          <w:trHeight w:val="1" w:hRule="atLeast"/>
          <w:jc w:val="left"/>
        </w:trPr>
        <w:tc>
          <w:tcPr>
            <w:tcW w:w="4976" w:type="dxa"/>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805" w:type="dxa"/>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2279" w:type="dxa"/>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r>
      <w:tr>
        <w:trPr>
          <w:trHeight w:val="1" w:hRule="atLeast"/>
          <w:jc w:val="left"/>
        </w:trPr>
        <w:tc>
          <w:tcPr>
            <w:tcW w:w="4976" w:type="dxa"/>
            <w:tcBorders>
              <w:top w:val="single" w:color="000000" w:sz="4"/>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СУ</w:t>
            </w:r>
          </w:p>
        </w:tc>
        <w:tc>
          <w:tcPr>
            <w:tcW w:w="180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27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976" w:type="dxa"/>
            <w:tcBorders>
              <w:top w:val="single" w:color="000000" w:sz="4"/>
              <w:left w:val="single" w:color="000000" w:sz="0"/>
              <w:bottom w:val="single" w:color="000000" w:sz="0"/>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потребители</w:t>
            </w:r>
          </w:p>
        </w:tc>
        <w:tc>
          <w:tcPr>
            <w:tcW w:w="180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w:t>
            </w:r>
          </w:p>
        </w:tc>
        <w:tc>
          <w:tcPr>
            <w:tcW w:w="227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Ветрино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периода на извършване на настоящия анализ няма регистрирани желаещи да ползват функциониращите социални услуги, държавно делегирана дейност на територията на община Ветрино.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Ветрино, различна от  общината по настоящ адрес</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Ветрино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Демографската криза в община Ветрино се задълбочава. Динамиката на населението през последните години показва трайна тенденция на намаление, с около 14% за последните 10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момента на изготвяне на анализа в социалните услуги по щат са утвърдени една щатна бройка за социалната услуга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Асистентска подкрепа“ и 5,5 бройки в Дома за стари хора, което е недостатъчно за покриването на стандартите и критериите за предоставянето на качествени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4472"/>
        </w:numPr>
        <w:tabs>
          <w:tab w:val="left" w:pos="862" w:leader="none"/>
          <w:tab w:val="left" w:pos="1430" w:leader="none"/>
        </w:tabs>
        <w:spacing w:before="0" w:after="0" w:line="240"/>
        <w:ind w:right="0" w:left="1430"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ВЪЛЧИ ДОЛ</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 целите на настоящия анализ са използвани данни от НСИ, ТСБ Варна, ДСП Вълчи дол и др.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Вълчи дол, към 31.12.2021 г. е 8767 жители, от тях 510 деца до 18-годишна възраст. Общия брой на лицата с трайни увреждания е 1027, от тях деца 21.</w:t>
      </w:r>
    </w:p>
    <w:p>
      <w:pPr>
        <w:spacing w:before="0" w:after="0" w:line="240"/>
        <w:ind w:right="0" w:left="0" w:firstLine="0"/>
        <w:jc w:val="both"/>
        <w:rPr>
          <w:rFonts w:ascii="Times New Roman" w:hAnsi="Times New Roman" w:cs="Times New Roman" w:eastAsia="Times New Roman"/>
          <w:b/>
          <w:i/>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tbl>
      <w:tblPr/>
      <w:tblGrid>
        <w:gridCol w:w="5793"/>
        <w:gridCol w:w="3267"/>
      </w:tblGrid>
      <w:tr>
        <w:trPr>
          <w:trHeight w:val="1" w:hRule="atLeast"/>
          <w:jc w:val="left"/>
        </w:trPr>
        <w:tc>
          <w:tcPr>
            <w:tcW w:w="5793" w:type="dxa"/>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3267" w:type="dxa"/>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АП</w:t>
            </w:r>
          </w:p>
        </w:tc>
      </w:tr>
      <w:tr>
        <w:trPr>
          <w:trHeight w:val="1" w:hRule="atLeast"/>
          <w:jc w:val="left"/>
        </w:trPr>
        <w:tc>
          <w:tcPr>
            <w:tcW w:w="5793" w:type="dxa"/>
            <w:tcBorders>
              <w:top w:val="single" w:color="000000" w:sz="4"/>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Брой СУ</w:t>
            </w:r>
          </w:p>
        </w:tc>
        <w:tc>
          <w:tcPr>
            <w:tcW w:w="326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1</w:t>
            </w:r>
          </w:p>
        </w:tc>
      </w:tr>
      <w:tr>
        <w:trPr>
          <w:trHeight w:val="1" w:hRule="atLeast"/>
          <w:jc w:val="left"/>
        </w:trPr>
        <w:tc>
          <w:tcPr>
            <w:tcW w:w="5793" w:type="dxa"/>
            <w:tcBorders>
              <w:top w:val="single" w:color="000000" w:sz="4"/>
              <w:left w:val="single" w:color="000000" w:sz="0"/>
              <w:bottom w:val="single" w:color="000000" w:sz="0"/>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Брой потребители</w:t>
            </w:r>
          </w:p>
        </w:tc>
        <w:tc>
          <w:tcPr>
            <w:tcW w:w="326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40</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Вълчи дол е разкрита 1 социална услуга, делегирана от държавата дейност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Асистентска подкрепа“, която се предоставя в гр. Вълчи дол и е с потребители 40. </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Вълчи дол</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Вълчи дол е 66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Социална услуга</w:t>
            </w:r>
          </w:p>
        </w:tc>
        <w:tc>
          <w:tcPr>
            <w:tcW w:w="5900" w:type="dxa"/>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0"/>
              <w:bottom w:val="single" w:color="000000" w:sz="0"/>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Асистентска подкрепа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66</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Вълчи дол,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Във функциониращите социални услуги на територията на община Вълчи дол няма потребители от други общини.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Вълчи дол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Вълчи Дол не е предоставила необходимата информация за посочения период, на база на която да се направи извод по отношение на демографската ситуация и специфика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съпоставка на данните за брой на назначени служители и брой незаети длъжности към момента на извършването на анализа по утвърдените щатни разписания във всяка услуга, както и въз основа на определените минимални изисквания в стандартите за качество на социалните услуги, касаещи броя и квалификацията на необходимите служители се вижда, че има незаети длъжности.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4491"/>
        </w:numPr>
        <w:tabs>
          <w:tab w:val="left" w:pos="862" w:leader="none"/>
          <w:tab w:val="left" w:pos="1430" w:leader="none"/>
        </w:tabs>
        <w:spacing w:before="0" w:after="0" w:line="240"/>
        <w:ind w:right="0" w:left="1430"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ДЕВНЯ</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Девня, към 31.12.2021 г. е 8411 жители, от тях 1436 деца до 18-годишна възраст. Общият брой на лицата с трайни увреждания е 802, от тях деца 23.</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Девня са разкрити 2 социални услуги, като и двете се предоставят в гр. Девня. Общият капацитет на социалните услуги е за 61 потребители, в т.ч. 21 за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206"/>
        <w:gridCol w:w="1915"/>
        <w:gridCol w:w="2939"/>
      </w:tblGrid>
      <w:tr>
        <w:trPr>
          <w:trHeight w:val="1" w:hRule="atLeast"/>
          <w:jc w:val="left"/>
        </w:trPr>
        <w:tc>
          <w:tcPr>
            <w:tcW w:w="4206" w:type="dxa"/>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915" w:type="dxa"/>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2939" w:type="dxa"/>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r>
      <w:tr>
        <w:trPr>
          <w:trHeight w:val="1" w:hRule="atLeast"/>
          <w:jc w:val="left"/>
        </w:trPr>
        <w:tc>
          <w:tcPr>
            <w:tcW w:w="4206" w:type="dxa"/>
            <w:tcBorders>
              <w:top w:val="single" w:color="000000" w:sz="4"/>
              <w:left w:val="single" w:color="000000" w:sz="0"/>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СУ</w:t>
            </w:r>
          </w:p>
        </w:tc>
        <w:tc>
          <w:tcPr>
            <w:tcW w:w="191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9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206" w:type="dxa"/>
            <w:tcBorders>
              <w:top w:val="single" w:color="000000" w:sz="4"/>
              <w:left w:val="single" w:color="000000" w:sz="0"/>
              <w:bottom w:val="single" w:color="000000" w:sz="0"/>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потребители</w:t>
            </w:r>
          </w:p>
        </w:tc>
        <w:tc>
          <w:tcPr>
            <w:tcW w:w="191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21</w:t>
            </w:r>
          </w:p>
        </w:tc>
        <w:tc>
          <w:tcPr>
            <w:tcW w:w="29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r>
    </w:tbl>
    <w:p>
      <w:pPr>
        <w:spacing w:before="0" w:after="0" w:line="240"/>
        <w:ind w:right="0" w:left="0" w:firstLine="0"/>
        <w:jc w:val="both"/>
        <w:rPr>
          <w:rFonts w:ascii="Times New Roman" w:hAnsi="Times New Roman" w:cs="Times New Roman" w:eastAsia="Times New Roman"/>
          <w:b/>
          <w:i/>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Девня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чакащи за ползване на социални и интегрирани здравно-социални услуги на територията на община Девня.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Девня,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4" w:type="dxa"/>
            <w:tcBorders>
              <w:top w:val="single" w:color="000000" w:sz="4"/>
              <w:left w:val="single" w:color="000000" w:sz="4"/>
              <w:bottom w:val="single" w:color="000000" w:sz="4"/>
              <w:right w:val="single" w:color="000000" w:sz="4"/>
            </w:tcBorders>
            <w:shd w:color="auto" w:fill="bdd6ee"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ДЦПЛУ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bl>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Девня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Забелязва се сравнително устойчива тенденция на редукция на броя на живущите в общината. Обръщайки внимание към 2020г., се наблюдава повишение в популацията от 71 души или с 0,83% за годината. Това се дължи на пандемията причинена от COVID-19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ефекта на миграцията от по-големите към по-малките градове. Още на следващата година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2021, </w:t>
      </w:r>
      <w:r>
        <w:rPr>
          <w:rFonts w:ascii="Times New Roman" w:hAnsi="Times New Roman" w:cs="Times New Roman" w:eastAsia="Times New Roman"/>
          <w:color w:val="auto"/>
          <w:spacing w:val="0"/>
          <w:position w:val="0"/>
          <w:sz w:val="24"/>
          <w:shd w:fill="auto" w:val="clear"/>
        </w:rPr>
        <w:t xml:space="preserve">естествения ход на редукция на населението се потвърждава от статистическите данни.</w:t>
      </w: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Планирането на необходимите човешки ресурси във всяка една социална услуга, обхваща бъдещото обезпечаване с необходимия брой и вид специалисти, предвид на спецификата на вида услуги и целевата група, към която е насочена подкрепата. Ключово е постигането на достатъчно ресурси от специалисти за посрещане и на най-специфичните потребности на населението и особено на най-уязвимите от тях.</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След трансформиране на услугите, съгласно Наредбата за качество на социалните услуги и при съпоставка на броя на назначените служители и броя на незаетите длъжности към момента на изготвяне на анализа не е необходимо да се променят длъжностното щатно разписание и щатните бройки в ДЦПЛУ за постигане на съответствие с изискванията за брой, квалификация и състав на служителите.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4514"/>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ДОЛНИ ЧИФЛИК</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 разработване на настоящия анализ са използвани различни информационни източници, както следва: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Cambria Math" w:hAnsi="Cambria Math" w:cs="Cambria Math" w:eastAsia="Cambria Math"/>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Съществуващи стратегически документи, анализи и проучвания обхващащи територията на община Долни чифлик; </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Cambria Math" w:hAnsi="Cambria Math" w:cs="Cambria Math" w:eastAsia="Cambria Math"/>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Публична статистическа информация от официални източници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Национален статистически институт (НСИ), регистри на Министерството на образованието и науката, Регионалната здравна инспекция (РЗИ) и др. </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Cambria Math" w:hAnsi="Cambria Math" w:cs="Cambria Math" w:eastAsia="Cambria Math"/>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Специфична информация предоставена от Общинска администрация Долни чифлик,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Долни чифлик (ДСП),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 (ДБТ), Регионална здравна инспекция и други.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Долни чифлик, към 31.12.2021 г. е 21872 жители, от тях 4764 деца до 18-годишна възраст. Общия брой на лицата с трайни увреждания е 2157, от тях деца 59.</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Долни чифлик се предоставя общо 9 социални услуги, делегирани от държавата дейност с общ брой потребители 200.</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176"/>
        <w:gridCol w:w="148"/>
        <w:gridCol w:w="642"/>
        <w:gridCol w:w="1247"/>
        <w:gridCol w:w="293"/>
        <w:gridCol w:w="1454"/>
        <w:gridCol w:w="119"/>
        <w:gridCol w:w="1339"/>
        <w:gridCol w:w="765"/>
        <w:gridCol w:w="877"/>
      </w:tblGrid>
      <w:tr>
        <w:trPr>
          <w:trHeight w:val="1" w:hRule="atLeast"/>
          <w:jc w:val="left"/>
        </w:trPr>
        <w:tc>
          <w:tcPr>
            <w:tcW w:w="2176" w:type="dxa"/>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790" w:type="dxa"/>
            <w:gridSpan w:val="2"/>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АП</w:t>
            </w:r>
          </w:p>
        </w:tc>
        <w:tc>
          <w:tcPr>
            <w:tcW w:w="1247" w:type="dxa"/>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ДЦДУ</w:t>
            </w:r>
          </w:p>
        </w:tc>
        <w:tc>
          <w:tcPr>
            <w:tcW w:w="1747" w:type="dxa"/>
            <w:gridSpan w:val="2"/>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ЦСРИПЛ</w:t>
            </w:r>
          </w:p>
        </w:tc>
        <w:tc>
          <w:tcPr>
            <w:tcW w:w="2223" w:type="dxa"/>
            <w:gridSpan w:val="3"/>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ЦНСТПЛПР</w:t>
            </w:r>
          </w:p>
        </w:tc>
        <w:tc>
          <w:tcPr>
            <w:tcW w:w="877" w:type="dxa"/>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НЖ</w:t>
            </w:r>
          </w:p>
        </w:tc>
      </w:tr>
      <w:tr>
        <w:trPr>
          <w:trHeight w:val="1" w:hRule="atLeast"/>
          <w:jc w:val="left"/>
        </w:trPr>
        <w:tc>
          <w:tcPr>
            <w:tcW w:w="2176" w:type="dxa"/>
            <w:tcBorders>
              <w:top w:val="single" w:color="000000" w:sz="4"/>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Брой СУ</w:t>
            </w:r>
          </w:p>
        </w:tc>
        <w:tc>
          <w:tcPr>
            <w:tcW w:w="790"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1</w:t>
            </w:r>
          </w:p>
        </w:tc>
        <w:tc>
          <w:tcPr>
            <w:tcW w:w="124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1</w:t>
            </w:r>
          </w:p>
        </w:tc>
        <w:tc>
          <w:tcPr>
            <w:tcW w:w="1747"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1</w:t>
            </w:r>
          </w:p>
        </w:tc>
        <w:tc>
          <w:tcPr>
            <w:tcW w:w="2223"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1</w:t>
            </w:r>
          </w:p>
        </w:tc>
        <w:tc>
          <w:tcPr>
            <w:tcW w:w="87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1</w:t>
            </w:r>
          </w:p>
        </w:tc>
      </w:tr>
      <w:tr>
        <w:trPr>
          <w:trHeight w:val="1" w:hRule="atLeast"/>
          <w:jc w:val="left"/>
        </w:trPr>
        <w:tc>
          <w:tcPr>
            <w:tcW w:w="2176" w:type="dxa"/>
            <w:tcBorders>
              <w:top w:val="single" w:color="000000" w:sz="4"/>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Брой потребители</w:t>
            </w:r>
          </w:p>
        </w:tc>
        <w:tc>
          <w:tcPr>
            <w:tcW w:w="790"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51</w:t>
            </w:r>
          </w:p>
        </w:tc>
        <w:tc>
          <w:tcPr>
            <w:tcW w:w="124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20</w:t>
            </w:r>
          </w:p>
        </w:tc>
        <w:tc>
          <w:tcPr>
            <w:tcW w:w="1747"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30</w:t>
            </w:r>
          </w:p>
        </w:tc>
        <w:tc>
          <w:tcPr>
            <w:tcW w:w="2223"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15</w:t>
            </w:r>
          </w:p>
        </w:tc>
        <w:tc>
          <w:tcPr>
            <w:tcW w:w="87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8</w:t>
            </w:r>
          </w:p>
        </w:tc>
      </w:tr>
      <w:tr>
        <w:trPr>
          <w:trHeight w:val="92" w:hRule="auto"/>
          <w:jc w:val="left"/>
        </w:trPr>
        <w:tc>
          <w:tcPr>
            <w:tcW w:w="2324" w:type="dxa"/>
            <w:gridSpan w:val="2"/>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182" w:type="dxa"/>
            <w:gridSpan w:val="3"/>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ЦНСТДМУ</w:t>
            </w:r>
          </w:p>
        </w:tc>
        <w:tc>
          <w:tcPr>
            <w:tcW w:w="1573" w:type="dxa"/>
            <w:gridSpan w:val="2"/>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ЦСРИД</w:t>
            </w:r>
          </w:p>
        </w:tc>
        <w:tc>
          <w:tcPr>
            <w:tcW w:w="133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ДЦСХ</w:t>
            </w:r>
          </w:p>
        </w:tc>
        <w:tc>
          <w:tcPr>
            <w:tcW w:w="1642" w:type="dxa"/>
            <w:gridSpan w:val="2"/>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ЗЖЛУИ</w:t>
            </w:r>
          </w:p>
        </w:tc>
      </w:tr>
      <w:tr>
        <w:trPr>
          <w:trHeight w:val="1" w:hRule="atLeast"/>
          <w:jc w:val="left"/>
        </w:trPr>
        <w:tc>
          <w:tcPr>
            <w:tcW w:w="2324" w:type="dxa"/>
            <w:gridSpan w:val="2"/>
            <w:tcBorders>
              <w:top w:val="single" w:color="000000" w:sz="4"/>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Брой СУ</w:t>
            </w:r>
          </w:p>
        </w:tc>
        <w:tc>
          <w:tcPr>
            <w:tcW w:w="2182"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1</w:t>
            </w:r>
          </w:p>
        </w:tc>
        <w:tc>
          <w:tcPr>
            <w:tcW w:w="1573"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1</w:t>
            </w:r>
          </w:p>
        </w:tc>
        <w:tc>
          <w:tcPr>
            <w:tcW w:w="13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1</w:t>
            </w:r>
          </w:p>
        </w:tc>
        <w:tc>
          <w:tcPr>
            <w:tcW w:w="1642"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1</w:t>
            </w:r>
          </w:p>
        </w:tc>
      </w:tr>
      <w:tr>
        <w:trPr>
          <w:trHeight w:val="1" w:hRule="atLeast"/>
          <w:jc w:val="left"/>
        </w:trPr>
        <w:tc>
          <w:tcPr>
            <w:tcW w:w="2324" w:type="dxa"/>
            <w:gridSpan w:val="2"/>
            <w:tcBorders>
              <w:top w:val="single" w:color="000000" w:sz="4"/>
              <w:left w:val="single" w:color="000000" w:sz="0"/>
              <w:bottom w:val="single" w:color="000000" w:sz="0"/>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Брой потребители</w:t>
            </w:r>
          </w:p>
        </w:tc>
        <w:tc>
          <w:tcPr>
            <w:tcW w:w="2182"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14</w:t>
            </w:r>
          </w:p>
        </w:tc>
        <w:tc>
          <w:tcPr>
            <w:tcW w:w="1573"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34</w:t>
            </w:r>
          </w:p>
        </w:tc>
        <w:tc>
          <w:tcPr>
            <w:tcW w:w="13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20</w:t>
            </w:r>
          </w:p>
        </w:tc>
        <w:tc>
          <w:tcPr>
            <w:tcW w:w="1642"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D0D0D"/>
                <w:spacing w:val="0"/>
                <w:position w:val="0"/>
                <w:sz w:val="24"/>
                <w:shd w:fill="auto" w:val="clear"/>
              </w:rPr>
              <w:t xml:space="preserve">8</w:t>
            </w:r>
          </w:p>
        </w:tc>
      </w:tr>
    </w:tbl>
    <w:p>
      <w:pPr>
        <w:spacing w:before="0" w:after="0" w:line="240"/>
        <w:ind w:right="0" w:left="0" w:firstLine="0"/>
        <w:jc w:val="both"/>
        <w:rPr>
          <w:rFonts w:ascii="Times New Roman" w:hAnsi="Times New Roman" w:cs="Times New Roman" w:eastAsia="Times New Roman"/>
          <w:b/>
          <w:i/>
          <w:color w:val="0D0D0D"/>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Долни чифлик</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Социална услуга</w:t>
            </w:r>
          </w:p>
        </w:tc>
        <w:tc>
          <w:tcPr>
            <w:tcW w:w="5900" w:type="dxa"/>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0"/>
              <w:bottom w:val="single" w:color="000000" w:sz="0"/>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109</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Долни чифлик,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ЦНСТДМУ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9</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ЦНСТПЛПР</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15</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ЗЖЛУИ</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7</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НЖ</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4</w:t>
            </w:r>
          </w:p>
        </w:tc>
      </w:tr>
    </w:tbl>
    <w:p>
      <w:pPr>
        <w:spacing w:before="0" w:after="0" w:line="240"/>
        <w:ind w:right="0" w:left="0" w:firstLine="0"/>
        <w:jc w:val="both"/>
        <w:rPr>
          <w:rFonts w:ascii="Times New Roman" w:hAnsi="Times New Roman" w:cs="Times New Roman" w:eastAsia="Times New Roman"/>
          <w:b/>
          <w:i/>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Долни чифлик за последните 5 години</w:t>
      </w:r>
    </w:p>
    <w:p>
      <w:pPr>
        <w:spacing w:before="0" w:after="0" w:line="240"/>
        <w:ind w:right="0" w:left="0" w:firstLine="0"/>
        <w:jc w:val="both"/>
        <w:rPr>
          <w:rFonts w:ascii="Times New Roman" w:hAnsi="Times New Roman" w:cs="Times New Roman" w:eastAsia="Times New Roman"/>
          <w:b/>
          <w:i/>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настоящия момент на територията на община Долни чифлик във функциониращите социални услуги числеността на персонала е съобразена с Наредбата за качество на социалните услуги, осигурена е възможност за професионално и кариерно развитие на служителите. Към настоящия момент 7 назначени лица на длъжности за основни специалисти или длъжности за помощен персонал продължават образованието си в по-висока степен на висше образование, като в степен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магистър“ се обучават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4 </w:t>
      </w:r>
      <w:r>
        <w:rPr>
          <w:rFonts w:ascii="Times New Roman" w:hAnsi="Times New Roman" w:cs="Times New Roman" w:eastAsia="Times New Roman"/>
          <w:color w:val="auto"/>
          <w:spacing w:val="0"/>
          <w:position w:val="0"/>
          <w:sz w:val="24"/>
          <w:shd w:fill="auto" w:val="clear"/>
        </w:rPr>
        <w:t xml:space="preserve">лица, а в степен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бакалавър“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3 </w:t>
      </w:r>
      <w:r>
        <w:rPr>
          <w:rFonts w:ascii="Times New Roman" w:hAnsi="Times New Roman" w:cs="Times New Roman" w:eastAsia="Times New Roman"/>
          <w:color w:val="auto"/>
          <w:spacing w:val="0"/>
          <w:position w:val="0"/>
          <w:sz w:val="24"/>
          <w:shd w:fill="auto" w:val="clear"/>
        </w:rPr>
        <w:t xml:space="preserve">лица. За лицата, които се обучават в степен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бакалавър“, специалност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социални дейности“ е осигурено наставничество и менторство.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4558"/>
        </w:numPr>
        <w:tabs>
          <w:tab w:val="left" w:pos="862" w:leader="none"/>
          <w:tab w:val="left" w:pos="1430" w:leader="none"/>
        </w:tabs>
        <w:spacing w:before="0" w:after="0" w:line="240"/>
        <w:ind w:right="0" w:left="1430"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8"/>
          <w:shd w:fill="auto" w:val="clear"/>
        </w:rPr>
        <w:t xml:space="preserve"> </w:t>
      </w:r>
      <w:r>
        <w:rPr>
          <w:rFonts w:ascii="Times New Roman" w:hAnsi="Times New Roman" w:cs="Times New Roman" w:eastAsia="Times New Roman"/>
          <w:b/>
          <w:color w:val="003366"/>
          <w:spacing w:val="0"/>
          <w:position w:val="0"/>
          <w:sz w:val="24"/>
          <w:shd w:fill="auto" w:val="clear"/>
        </w:rPr>
        <w:t xml:space="preserve">ОБЩИНА ДЪЛГОПОЛ</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са използвани актуални данни от общинската администрация, събирани и предоставени от експертите на ГРАО, експертите от отдел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Образование и хуманитарни дейности“, ДСП, РЗИ, РУО, ДБТ, НОИ, НСИ и други.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Дългопол, към 31.12.2021 г. е 13435 жители, от тях 2272 деца до 18-годишна възраст. Общия брой на лицата с трайни увреждания е 1887, от тях деца 17.</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Дългопол са разкрити 2 социални услуги, и всички се предоставят в гр. Дългопол. Общият капацитет на социалните услуги е за 68 потребители.</w:t>
      </w:r>
    </w:p>
    <w:tbl>
      <w:tblPr/>
      <w:tblGrid>
        <w:gridCol w:w="3629"/>
        <w:gridCol w:w="1653"/>
        <w:gridCol w:w="3778"/>
      </w:tblGrid>
      <w:tr>
        <w:trPr>
          <w:trHeight w:val="1" w:hRule="atLeast"/>
          <w:jc w:val="left"/>
        </w:trPr>
        <w:tc>
          <w:tcPr>
            <w:tcW w:w="3629" w:type="dxa"/>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53" w:type="dxa"/>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3778" w:type="dxa"/>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ЦСРИД</w:t>
            </w:r>
          </w:p>
        </w:tc>
      </w:tr>
      <w:tr>
        <w:trPr>
          <w:trHeight w:val="1" w:hRule="atLeast"/>
          <w:jc w:val="left"/>
        </w:trPr>
        <w:tc>
          <w:tcPr>
            <w:tcW w:w="3629" w:type="dxa"/>
            <w:tcBorders>
              <w:top w:val="single" w:color="000000" w:sz="4"/>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СУ</w:t>
            </w:r>
          </w:p>
        </w:tc>
        <w:tc>
          <w:tcPr>
            <w:tcW w:w="165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377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629" w:type="dxa"/>
            <w:tcBorders>
              <w:top w:val="single" w:color="000000" w:sz="4"/>
              <w:left w:val="single" w:color="000000" w:sz="0"/>
              <w:bottom w:val="single" w:color="000000" w:sz="0"/>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потребители</w:t>
            </w:r>
          </w:p>
        </w:tc>
        <w:tc>
          <w:tcPr>
            <w:tcW w:w="165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48</w:t>
            </w:r>
          </w:p>
        </w:tc>
        <w:tc>
          <w:tcPr>
            <w:tcW w:w="377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Дългопол</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Дългопол е 6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Социална услуга</w:t>
            </w:r>
          </w:p>
        </w:tc>
        <w:tc>
          <w:tcPr>
            <w:tcW w:w="5900" w:type="dxa"/>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0"/>
              <w:bottom w:val="single" w:color="000000" w:sz="0"/>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Дългопол,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лица от други общини, които ползват социални услуги в община Дългопол. </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Дългопол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база на прегледа на демографските показатели в община Дългопол, би могло да се направи извода, че към настоящия момент не е налице тежка демографска криза, а по-скоро се касае за наличието на сериозни предизвикателства пред бъдещото функциониране на системите за социално осигуряване и подпомагане, здравеопазване, образование и публични финанси в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Планирането на необходимите човешки ресурси във всяка една социална услуга, обхваща бъдещото обезпечаване с необходимия брой и вид специалисти, предвид на спецификата на вида услуги и целевата група, към която е насочена подкрепата. Ключово е постигането на достатъчно ресурси от специалисти за посрещане и на най-специфичните потребности на населението и особено на най-уязвимите от тях. След трансформиране на услугите, съгласно Наредбата за качество на социалните услуги ще е необходимо да се увеличат щатните бройки в ЦСРИ, спрямо ново определените брой места, по чл. 15 от ЗСУ.</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4578"/>
        </w:numPr>
        <w:tabs>
          <w:tab w:val="left" w:pos="862" w:leader="none"/>
          <w:tab w:val="left" w:pos="1430" w:leader="none"/>
        </w:tabs>
        <w:spacing w:before="0" w:after="0" w:line="240"/>
        <w:ind w:right="0" w:left="1430" w:hanging="576"/>
        <w:jc w:val="both"/>
        <w:rPr>
          <w:rFonts w:ascii="Times New Roman" w:hAnsi="Times New Roman" w:cs="Times New Roman" w:eastAsia="Times New Roman"/>
          <w:b/>
          <w:i/>
          <w:color w:val="003366"/>
          <w:spacing w:val="0"/>
          <w:position w:val="0"/>
          <w:sz w:val="24"/>
          <w:shd w:fill="auto" w:val="clear"/>
        </w:rPr>
      </w:pPr>
      <w:r>
        <w:rPr>
          <w:rFonts w:ascii="Times New Roman" w:hAnsi="Times New Roman" w:cs="Times New Roman" w:eastAsia="Times New Roman"/>
          <w:b/>
          <w:color w:val="003366"/>
          <w:spacing w:val="0"/>
          <w:position w:val="0"/>
          <w:sz w:val="28"/>
          <w:shd w:fill="auto" w:val="clear"/>
        </w:rPr>
        <w:t xml:space="preserve"> </w:t>
      </w:r>
      <w:r>
        <w:rPr>
          <w:rFonts w:ascii="Times New Roman" w:hAnsi="Times New Roman" w:cs="Times New Roman" w:eastAsia="Times New Roman"/>
          <w:b/>
          <w:color w:val="003366"/>
          <w:spacing w:val="0"/>
          <w:position w:val="0"/>
          <w:sz w:val="24"/>
          <w:shd w:fill="auto" w:val="clear"/>
        </w:rPr>
        <w:t xml:space="preserve">ОБЩИНА ПРОВАДИЯ</w:t>
      </w:r>
    </w:p>
    <w:p>
      <w:pPr>
        <w:spacing w:before="0" w:after="0" w:line="240"/>
        <w:ind w:right="0" w:left="0" w:firstLine="0"/>
        <w:jc w:val="both"/>
        <w:rPr>
          <w:rFonts w:ascii="Times New Roman" w:hAnsi="Times New Roman" w:cs="Times New Roman" w:eastAsia="Times New Roman"/>
          <w:b/>
          <w:i/>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са използвани следните източници на информация: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w:t>
      </w:r>
      <w:r>
        <w:rPr>
          <w:rFonts w:ascii="Times New Roman" w:hAnsi="Times New Roman" w:cs="Times New Roman" w:eastAsia="Times New Roman"/>
          <w:color w:val="auto"/>
          <w:spacing w:val="0"/>
          <w:position w:val="0"/>
          <w:sz w:val="24"/>
          <w:shd w:fill="auto" w:val="clear"/>
        </w:rPr>
        <w:t xml:space="preserve">Обобщена информация от преброяване на населението от Националния статистически институт през 2021 г.;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Органи, които по силата на закон имат право да събират и администрират съответните данни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Провадия,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Провадия, РЗИ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Варна, РУО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Варна;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w:t>
      </w:r>
      <w:r>
        <w:rPr>
          <w:rFonts w:ascii="Times New Roman" w:hAnsi="Times New Roman" w:cs="Times New Roman" w:eastAsia="Times New Roman"/>
          <w:color w:val="auto"/>
          <w:spacing w:val="0"/>
          <w:position w:val="0"/>
          <w:sz w:val="24"/>
          <w:shd w:fill="auto" w:val="clear"/>
        </w:rPr>
        <w:t xml:space="preserve">институциите на общинско ниво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Домашен социален патронаж”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Провадия,  екип за управление на проекти за предоставяне на здравно-социални услуги, екип за администриране на Механизъм за лична помощ по ЗЛП</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Провадия, към 31.12.2021 г. е 20461 жители, от тях 3667 деца до 18-годишна възраст. Общият брой на лицата с трайни увреждания е 2370, от тях деца 61.</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Провадия са разкрити 6 социални услуги. Общият капацитет на социалните услуги е за 150 потребители.</w:t>
      </w:r>
    </w:p>
    <w:tbl>
      <w:tblPr/>
      <w:tblGrid>
        <w:gridCol w:w="2105"/>
        <w:gridCol w:w="1292"/>
        <w:gridCol w:w="924"/>
        <w:gridCol w:w="1732"/>
        <w:gridCol w:w="966"/>
        <w:gridCol w:w="1352"/>
        <w:gridCol w:w="689"/>
      </w:tblGrid>
      <w:tr>
        <w:trPr>
          <w:trHeight w:val="1" w:hRule="atLeast"/>
          <w:jc w:val="left"/>
        </w:trPr>
        <w:tc>
          <w:tcPr>
            <w:tcW w:w="210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29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ЦСРИД</w:t>
            </w:r>
          </w:p>
        </w:tc>
        <w:tc>
          <w:tcPr>
            <w:tcW w:w="92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173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96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ПЖД</w:t>
            </w:r>
          </w:p>
        </w:tc>
        <w:tc>
          <w:tcPr>
            <w:tcW w:w="135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68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210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29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3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6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10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29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c>
          <w:tcPr>
            <w:tcW w:w="9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c>
          <w:tcPr>
            <w:tcW w:w="17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9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3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6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70</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Провадия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информация от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Провадия няма чакащи лица, които желаят да ползват социални услуги на територията на община Провадия. За услугата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Асистентска подкрепа” списъкът на чакащите се състои от 14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Асистентска подкрепа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bl>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Провадия,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общината не се предоставят интегрирани здравно-социални услуги за резидентна грижа за деца с трайни увреждания с потребност от постоянни медицински грижи. В действащите, към момента на изготвяне на анализа, социални услуги в община Провадия броя на лицата от други общини е общо 30, разпределени по услуги, както следва: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30"/>
        <w:gridCol w:w="4530"/>
      </w:tblGrid>
      <w:tr>
        <w:trPr>
          <w:trHeight w:val="1" w:hRule="atLeast"/>
          <w:jc w:val="left"/>
        </w:trPr>
        <w:tc>
          <w:tcPr>
            <w:tcW w:w="453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3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ЦНСТДМУ</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r>
        <w:trPr>
          <w:trHeight w:val="1" w:hRule="atLeast"/>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ЗЖЛУИ</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1" w:hRule="atLeast"/>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ПЖ</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r>
        <w:trPr>
          <w:trHeight w:val="1" w:hRule="atLeast"/>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Провадия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Данните от текущата демографска статистика показват, че в община Провадия към 31.12.2021 г. населението наброява 20 461 души (по данни от </w:t>
      </w:r>
      <w:hyperlink xmlns:r="http://schemas.openxmlformats.org/officeDocument/2006/relationships" r:id="docRId26">
        <w:r>
          <w:rPr>
            <w:rFonts w:ascii="Times New Roman" w:hAnsi="Times New Roman" w:cs="Times New Roman" w:eastAsia="Times New Roman"/>
            <w:color w:val="0000FF"/>
            <w:spacing w:val="0"/>
            <w:position w:val="0"/>
            <w:sz w:val="24"/>
            <w:u w:val="single"/>
            <w:shd w:fill="auto" w:val="clear"/>
          </w:rPr>
          <w:t xml:space="preserve">НСИ</w:t>
        </w:r>
      </w:hyperlink>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което съставлява 4,37% от населението на област Варна, което към 31.12.2021г. е 468 614 души (по данни от </w:t>
      </w:r>
      <w:hyperlink xmlns:r="http://schemas.openxmlformats.org/officeDocument/2006/relationships" r:id="docRId27">
        <w:r>
          <w:rPr>
            <w:rFonts w:ascii="Times New Roman" w:hAnsi="Times New Roman" w:cs="Times New Roman" w:eastAsia="Times New Roman"/>
            <w:color w:val="0000FF"/>
            <w:spacing w:val="0"/>
            <w:position w:val="0"/>
            <w:sz w:val="24"/>
            <w:u w:val="single"/>
            <w:shd w:fill="auto" w:val="clear"/>
          </w:rPr>
          <w:t xml:space="preserve">НСИ</w:t>
        </w:r>
      </w:hyperlink>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Община Провадия се нарежда вече на трето място сред общините в областта по численост на населението след Варна и Аксаково. По този показател общината е била на второ място през 2019г. Градското население в община Провадия представлява 56,48% от общото население на общината.  През последните 10 години се наблюдава трайна тенденция на намаляване на броя на населението в община Провадия, характерно и за градското и за селското население.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Данните за община Провадия показват превес на населението над 65-годишна възраст спрямо това на възраст 0-18г., което установява възрастова структура от регресивен тип. Това се дължи основно на ниската раждаемост и емиграционната активност на младите хора. Възрастовата структура на населението е с определящо значение за естественото възпроизводство на населението, за количеството и качеството на работната сила, както и за натовареността на здравната и социалната система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Раждаемостта зависи от много фактори като стандарта на живот, ниво на образование, етнокултурни особености, качество на здравни услуги и др. Демографските данни по отношение на раждаемостта за периода 2017- 2021г. в община Провадия варира, но бележи тенденция за слабо нарастване.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периода 2017-2021г. се наблюдава увеличение на смъртността. Факторите за това са както качеството на живот, вложеното здравословно състояние на населението, така и изселването на хора в активна възраст, което води до нарастване на населението в горния възрастов диапазон и повишава стойността на общата смъртност. Следва да се отбележи и влиянието на пандемията от Ковид 19, която през 2020г. и 2021г. допълнително увеличи смъртността. Раждаемостта, смъртността и естественият прираст имат по-голямо негативно въздействие върху демографията на общината, в сравнение с механичния прираст, определен от миграционните процеси.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гледна точка на планирането на социалните услуги в община Провадия на база на изложените данни за демографските характеристики на населението в общината е наложително създаването на мрежа от социални услуги за лица с трайни увреждания, за лица в над трудоспособна възраст без увреждания, както и подкрепящи услуги за посочените целеви групи.</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предоставени данни.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4613"/>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СУВОРОВО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са използвани официални източници на информация- НСИ,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Вълчи дол,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Вълчи дол, ГРАО,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Административно обслужване и хуманитарни дейности“  при община Суворово, кметове и кметски наместници.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Суворово, към 31.12.2021 г. е 8720 жители, от тях 1450 деца до 18-годишна възраст. Общият брой на лицата с трайни увреждания е 629, от тях деца 27.</w:t>
      </w:r>
    </w:p>
    <w:p>
      <w:pPr>
        <w:spacing w:before="0" w:after="0" w:line="240"/>
        <w:ind w:right="0" w:left="0" w:firstLine="426"/>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426"/>
        <w:jc w:val="both"/>
        <w:rPr>
          <w:rFonts w:ascii="Times New Roman" w:hAnsi="Times New Roman" w:cs="Times New Roman" w:eastAsia="Times New Roman"/>
          <w:color w:val="auto"/>
          <w:spacing w:val="0"/>
          <w:position w:val="0"/>
          <w:sz w:val="20"/>
          <w:shd w:fill="auto" w:val="clear"/>
        </w:rPr>
      </w:pPr>
    </w:p>
    <w:p>
      <w:pPr>
        <w:spacing w:before="0" w:after="0" w:line="276"/>
        <w:ind w:right="0" w:left="0" w:firstLine="708"/>
        <w:jc w:val="both"/>
        <w:rPr>
          <w:rFonts w:ascii="Times New Roman" w:hAnsi="Times New Roman" w:cs="Times New Roman" w:eastAsia="Times New Roman"/>
          <w:color w:val="auto"/>
          <w:spacing w:val="0"/>
          <w:position w:val="0"/>
          <w:sz w:val="20"/>
          <w:shd w:fill="auto" w:val="clear"/>
        </w:rPr>
      </w:pPr>
    </w:p>
    <w:p>
      <w:pPr>
        <w:spacing w:before="0" w:after="0" w:line="276"/>
        <w:ind w:right="0" w:left="0" w:firstLine="708"/>
        <w:jc w:val="both"/>
        <w:rPr>
          <w:rFonts w:ascii="Times New Roman" w:hAnsi="Times New Roman" w:cs="Times New Roman" w:eastAsia="Times New Roman"/>
          <w:color w:val="auto"/>
          <w:spacing w:val="0"/>
          <w:position w:val="0"/>
          <w:sz w:val="20"/>
          <w:shd w:fill="auto" w:val="clear"/>
        </w:rPr>
      </w:pPr>
    </w:p>
    <w:p>
      <w:pPr>
        <w:spacing w:before="0" w:after="0" w:line="276"/>
        <w:ind w:right="0" w:left="0" w:firstLine="708"/>
        <w:jc w:val="both"/>
        <w:rPr>
          <w:rFonts w:ascii="Times New Roman" w:hAnsi="Times New Roman" w:cs="Times New Roman" w:eastAsia="Times New Roman"/>
          <w:color w:val="auto"/>
          <w:spacing w:val="0"/>
          <w:position w:val="0"/>
          <w:sz w:val="20"/>
          <w:shd w:fill="auto" w:val="clear"/>
        </w:rPr>
      </w:pPr>
    </w:p>
    <w:p>
      <w:pPr>
        <w:spacing w:before="0" w:after="0" w:line="276"/>
        <w:ind w:right="0" w:left="0" w:firstLine="708"/>
        <w:jc w:val="both"/>
        <w:rPr>
          <w:rFonts w:ascii="Times New Roman" w:hAnsi="Times New Roman" w:cs="Times New Roman" w:eastAsia="Times New Roman"/>
          <w:color w:val="auto"/>
          <w:spacing w:val="0"/>
          <w:position w:val="0"/>
          <w:sz w:val="20"/>
          <w:shd w:fill="auto" w:val="clear"/>
        </w:rPr>
      </w:pPr>
    </w:p>
    <w:p>
      <w:pPr>
        <w:spacing w:before="0" w:after="0" w:line="276"/>
        <w:ind w:right="0" w:left="0" w:firstLine="708"/>
        <w:jc w:val="both"/>
        <w:rPr>
          <w:rFonts w:ascii="Times New Roman" w:hAnsi="Times New Roman" w:cs="Times New Roman" w:eastAsia="Times New Roman"/>
          <w:color w:val="auto"/>
          <w:spacing w:val="0"/>
          <w:position w:val="0"/>
          <w:sz w:val="20"/>
          <w:shd w:fill="auto" w:val="clear"/>
        </w:rPr>
      </w:pPr>
    </w:p>
    <w:p>
      <w:pPr>
        <w:spacing w:before="0" w:after="0" w:line="276"/>
        <w:ind w:right="0" w:left="0" w:firstLine="708"/>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Суворово са разкрити 3 социални услуги. Общият капацитет на социалните услуги е за 72 потребители, в т. ч. 22 за социалната услуга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Асистентска подкрепа“, която на практика функционира над определения по заповед брой места и подкрепя 35 потребители.</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tbl>
      <w:tblPr/>
      <w:tblGrid>
        <w:gridCol w:w="3323"/>
        <w:gridCol w:w="1865"/>
        <w:gridCol w:w="2667"/>
        <w:gridCol w:w="1205"/>
      </w:tblGrid>
      <w:tr>
        <w:trPr>
          <w:trHeight w:val="1" w:hRule="atLeast"/>
          <w:jc w:val="left"/>
        </w:trPr>
        <w:tc>
          <w:tcPr>
            <w:tcW w:w="3323" w:type="dxa"/>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865" w:type="dxa"/>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ЦРДУ</w:t>
            </w:r>
          </w:p>
        </w:tc>
        <w:tc>
          <w:tcPr>
            <w:tcW w:w="2667" w:type="dxa"/>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ЦСРИПЛ</w:t>
            </w:r>
          </w:p>
        </w:tc>
        <w:tc>
          <w:tcPr>
            <w:tcW w:w="1205" w:type="dxa"/>
            <w:tcBorders>
              <w:top w:val="single" w:color="000000" w:sz="0"/>
              <w:left w:val="single" w:color="000000" w:sz="0"/>
              <w:bottom w:val="single" w:color="000000" w:sz="4"/>
              <w:right w:val="single" w:color="000000" w:sz="0"/>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3323" w:type="dxa"/>
            <w:tcBorders>
              <w:top w:val="single" w:color="000000" w:sz="4"/>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СУ</w:t>
            </w:r>
          </w:p>
        </w:tc>
        <w:tc>
          <w:tcPr>
            <w:tcW w:w="186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66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0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323" w:type="dxa"/>
            <w:tcBorders>
              <w:top w:val="single" w:color="000000" w:sz="4"/>
              <w:left w:val="single" w:color="000000" w:sz="0"/>
              <w:bottom w:val="single" w:color="000000" w:sz="0"/>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потребители</w:t>
            </w:r>
          </w:p>
        </w:tc>
        <w:tc>
          <w:tcPr>
            <w:tcW w:w="186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266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20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Суворово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Според данните, предоставени от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Вълчи дол, като чакащи за наличните социални услуги на територията на община Суворово са регистрирани лица единствено за социалната услуга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Асистентска подкрепа“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общо 4 на брой.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Суворово,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Суворово не са регистрирани лица от други общини, които да ползват функциониращите на територията на община Суворово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Суворово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Възрастовата структура</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 населението в общината показва постоянна тенденция към застаряване. Демографската картина за община Суворово, както и за цялата страна, е неблагоприятна, населението застарява в резултат на естествените процеси на раждаемост и смъртност, така и в резултат на засилените емиграционни процеси.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Въпреки заетостта на щатните бройки, общината отчита наличието на проблем с кадровото обезпечаване на дейностите в социалните услуги.</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4637"/>
        </w:numPr>
        <w:tabs>
          <w:tab w:val="left" w:pos="718" w:leader="none"/>
        </w:tabs>
        <w:spacing w:before="0" w:after="0" w:line="240"/>
        <w:ind w:right="0" w:left="718" w:hanging="576"/>
        <w:jc w:val="both"/>
        <w:rPr>
          <w:rFonts w:ascii="Times New Roman" w:hAnsi="Times New Roman" w:cs="Times New Roman" w:eastAsia="Times New Roman"/>
          <w:b/>
          <w:color w:val="003366"/>
          <w:spacing w:val="0"/>
          <w:position w:val="0"/>
          <w:sz w:val="28"/>
          <w:shd w:fill="auto" w:val="clear"/>
        </w:rPr>
      </w:pPr>
      <w:r>
        <w:rPr>
          <w:rFonts w:ascii="Times New Roman" w:hAnsi="Times New Roman" w:cs="Times New Roman" w:eastAsia="Times New Roman"/>
          <w:b/>
          <w:color w:val="003366"/>
          <w:spacing w:val="0"/>
          <w:position w:val="0"/>
          <w:sz w:val="28"/>
          <w:shd w:fill="auto" w:val="clear"/>
        </w:rPr>
        <w:t xml:space="preserve">АНАЛИЗ НА ПОТРЕБНОСТИТЕ В ОБЛАСТ ВАРНА (обобщено)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обобщени за област Варна по общини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общините от област Варна информацията за населението по критериите съгласно Наредбата за планиране на социалните услуги е получена от информационна система ГРАО на общините, РЗИ, от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от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 кметове и кметски наместници, социалните услуги, функциониращи на територията на всяка една отделна община в рамките на административната област, училища, лечебни заведения, социални услуги и др.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област Варна, към 31.12.2021 г. е 451 310 жители, от тях 75 132 деца до 18-годишна възраст. Общият брой на лицата с трайни увреждания е 39 249, от тях деца 1430.</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426"/>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Съществуващите социални и интегрирани здравно-социални услуги и брой на техните потребители (общ и по видове услуги и групи потребители) за цялата област по общини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социалните услуги на територията на област Варна е 69 с 2639 потребители. Броят на социалните услуги за деца е 31 с 879 потребители. Социалните услуги за пълнолетни лица са 38 с 1760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областта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графиките е видно, че на територията на областта преобладават консултативните услуги (ДЦ, ЦСРИ, ЦОП, ЦРДУ), които са 29 на брой и обслужват общо 1084 потребители. Социалните услуги за резидентна грижа (ЦНСТ, ЗЖ, ПЖ, НЖ, КЦ, ЦВН) са 25 за 274 потребители, а услугите в домашна среда (АП)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12 </w:t>
      </w:r>
      <w:r>
        <w:rPr>
          <w:rFonts w:ascii="Times New Roman" w:hAnsi="Times New Roman" w:cs="Times New Roman" w:eastAsia="Times New Roman"/>
          <w:color w:val="auto"/>
          <w:spacing w:val="0"/>
          <w:position w:val="0"/>
          <w:sz w:val="24"/>
          <w:shd w:fill="auto" w:val="clear"/>
        </w:rPr>
        <w:t xml:space="preserve">услуги за 1128 потребители. Специализираните институции за пълнолетни лица в надтрудоспособна възраст (ДСХ) на територията на област Варна са общо 3 на брой за 153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област Варна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tbl>
      <w:tblPr/>
      <w:tblGrid>
        <w:gridCol w:w="4035"/>
        <w:gridCol w:w="5025"/>
      </w:tblGrid>
      <w:tr>
        <w:trPr>
          <w:trHeight w:val="201" w:hRule="auto"/>
          <w:jc w:val="left"/>
        </w:trPr>
        <w:tc>
          <w:tcPr>
            <w:tcW w:w="403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02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94" w:hRule="auto"/>
          <w:jc w:val="left"/>
        </w:trPr>
        <w:tc>
          <w:tcPr>
            <w:tcW w:w="403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0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148</w:t>
            </w:r>
          </w:p>
        </w:tc>
      </w:tr>
      <w:tr>
        <w:trPr>
          <w:trHeight w:val="201" w:hRule="auto"/>
          <w:jc w:val="left"/>
        </w:trPr>
        <w:tc>
          <w:tcPr>
            <w:tcW w:w="403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50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r>
      <w:tr>
        <w:trPr>
          <w:trHeight w:val="201" w:hRule="auto"/>
          <w:jc w:val="left"/>
        </w:trPr>
        <w:tc>
          <w:tcPr>
            <w:tcW w:w="403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50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r>
        <w:trPr>
          <w:trHeight w:val="194" w:hRule="auto"/>
          <w:jc w:val="left"/>
        </w:trPr>
        <w:tc>
          <w:tcPr>
            <w:tcW w:w="403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50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r>
      <w:tr>
        <w:trPr>
          <w:trHeight w:val="201" w:hRule="auto"/>
          <w:jc w:val="left"/>
        </w:trPr>
        <w:tc>
          <w:tcPr>
            <w:tcW w:w="403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ЗЖЛПР</w:t>
            </w:r>
          </w:p>
        </w:tc>
        <w:tc>
          <w:tcPr>
            <w:tcW w:w="50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94" w:hRule="auto"/>
          <w:jc w:val="left"/>
        </w:trPr>
        <w:tc>
          <w:tcPr>
            <w:tcW w:w="403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50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201" w:hRule="auto"/>
          <w:jc w:val="left"/>
        </w:trPr>
        <w:tc>
          <w:tcPr>
            <w:tcW w:w="403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50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109/10</w:t>
            </w:r>
          </w:p>
        </w:tc>
      </w:tr>
      <w:tr>
        <w:trPr>
          <w:trHeight w:val="201" w:hRule="auto"/>
          <w:jc w:val="left"/>
        </w:trPr>
        <w:tc>
          <w:tcPr>
            <w:tcW w:w="403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50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59</w:t>
            </w:r>
          </w:p>
        </w:tc>
      </w:tr>
      <w:tr>
        <w:trPr>
          <w:trHeight w:val="194" w:hRule="auto"/>
          <w:jc w:val="left"/>
        </w:trPr>
        <w:tc>
          <w:tcPr>
            <w:tcW w:w="403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ЦСРИПЛ</w:t>
            </w:r>
          </w:p>
        </w:tc>
        <w:tc>
          <w:tcPr>
            <w:tcW w:w="50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32</w:t>
            </w:r>
          </w:p>
        </w:tc>
      </w:tr>
      <w:tr>
        <w:trPr>
          <w:trHeight w:val="194" w:hRule="auto"/>
          <w:jc w:val="left"/>
        </w:trPr>
        <w:tc>
          <w:tcPr>
            <w:tcW w:w="403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Общо</w:t>
            </w:r>
          </w:p>
        </w:tc>
        <w:tc>
          <w:tcPr>
            <w:tcW w:w="50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387/288</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Лицата, желаещи да ползват и респективно включени в регистрите на чакащите за ползване на социални услуги в териториалния обхват на област Варна са 387/288. Голям е и броят на лицата за включване в Асистентска подкрепа, видно от данните, те са 148 лица.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област Варна,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и интегрирани здравно-социални услуги на територията на област Варна, различна от общината по настоящ адрес е 145. Най-голям е техният брой в социалните услуги на територията на общините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Варна, Долни чифлик, Провадия, следвани от общините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Ветрино, Девня, Аксаково. В общините Аврен, Белослав и Вълчи дол се предоставя единствено Асистентска подкрепа и потребителите са от съответната община.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следващата графика е представено сравнение между функциониращите към момента социални услуги, финансирани от държавния бюджет, съотнесени към социалните услуги по чл. 15 от ЗСУ, максималния брой потребители, съгласно критериите по Наредбата за планиране на социалните услуги и поетите ангажименти от общините в областта.</w:t>
      </w:r>
    </w:p>
    <w:p>
      <w:pPr>
        <w:spacing w:before="0" w:after="0" w:line="240"/>
        <w:ind w:right="0" w:left="0" w:firstLine="0"/>
        <w:jc w:val="both"/>
        <w:rPr>
          <w:rFonts w:ascii="Times New Roman" w:hAnsi="Times New Roman" w:cs="Times New Roman" w:eastAsia="Times New Roman"/>
          <w:i/>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област Варна за последните 5 години</w:t>
      </w:r>
    </w:p>
    <w:p>
      <w:pPr>
        <w:spacing w:before="0" w:after="0" w:line="240"/>
        <w:ind w:right="0" w:left="0" w:firstLine="0"/>
        <w:jc w:val="both"/>
        <w:rPr>
          <w:rFonts w:ascii="Times New Roman" w:hAnsi="Times New Roman" w:cs="Times New Roman" w:eastAsia="Times New Roman"/>
          <w:i/>
          <w:color w:val="auto"/>
          <w:spacing w:val="0"/>
          <w:position w:val="0"/>
          <w:sz w:val="20"/>
          <w:shd w:fill="auto" w:val="clear"/>
        </w:rPr>
      </w:pPr>
    </w:p>
    <w:p>
      <w:pPr>
        <w:spacing w:before="0" w:after="0" w:line="240"/>
        <w:ind w:right="0" w:left="0" w:firstLine="567"/>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Анализът на данните на демографското развитие в област Варна за периода 2021 г.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2017 </w:t>
      </w:r>
      <w:r>
        <w:rPr>
          <w:rFonts w:ascii="Times New Roman" w:hAnsi="Times New Roman" w:cs="Times New Roman" w:eastAsia="Times New Roman"/>
          <w:color w:val="auto"/>
          <w:spacing w:val="0"/>
          <w:position w:val="0"/>
          <w:sz w:val="24"/>
          <w:shd w:fill="auto" w:val="clear"/>
        </w:rPr>
        <w:t xml:space="preserve">г. показва тенденция към намаление на броя на населението във всички общини, с изключение на община Бяла, в която за 2021 г. е регистриран по-голям общ брой население, в сравнение с всички предходни години за изследвания период.</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Като цяло във всички общини се отчита ниска раждаемост, единствено община Аксаково отбелязва леко завишена такава, но за съжаление тенденцията за висока смъртност и отрицателен естествен прираст, обуславя демографката ситуация във всяка една община. Налице е прогресивно намаляване на относителния дял на лицата в трудоспособна възраст. Наблюдава се тенденция към завишаване деля на емигриралите лица, което в дългосрочен план е възможно да доведе до обезлюдяване на по-малките населени места в областта. Област Варна не се отличава значително от всеобщата демографска тенденция в страната, ето защо и на нейната територия също се отчита сравнително висок брой на хората с увреждания, както и на самотно живеещите стари хора, с невъзможност за самообслужване.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Всички тези фактори, показват че на територията на областта ролята на социалните услуги за резидентна грижа и тези в домашна среда ще продължи да бъде от решаващо значение за населението, както в отделните общини, така и за цялата област Варна.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По-голяма част от социалните услуги в областта са обезпечени със служители, необходими за предоставянето им. Общините са използвали различни възможности за наемане на необходимите служители за извършване на дейностите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специалисти се търсят както в Дирекции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Бюра по труда“, така и на свободния пазар, като на работа се наемат и пенсионери.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разкриването на нови социални и интегрирани здравно-социални услуги н територията на някои от общините ще е необходимо обезпечаването им със съответните специалисти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медицински, административен и помощен персонал. За някои от малките общини в областта, обезпечаването с медицински персонал се характеризира като предизвикателство.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Една от предпоставките за ефективност на социалните услуги е наличието на квалифициран и мотивиран персонал. Развитието и обучението на човешките ресурси в тази област е важна предпоставка за качествени услуги, които да съдействат за повишаване и качеството на живот на отделните индивиди, семейства и групи.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Варна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са ключов фактор за ефективно социално включване и участие в живота на обществото на всички групи лица, които имат необходимост от подкрепа. Въз основа на направения анализ на състоянието на социалните услуги на територията на областта и очерталите се тенденции, могат да се направят следните изводи: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обхвата на областта, община Варна, която е и областния център се характеризира със значителен демографски потенциал, което се дължи на по-големите икономически и социални възможности, които тя предлага;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Въпреки на пръв поглед значителен общ брой социални услуги на територията на областта, все още в някои общини съществуват непокрити потребности от резидентна грижа за рискови целеви групи, като: пълнолетни лица с психични разстройства, пълнолетни лица с физически увреждания и лицата в надтрудоспособна възраст без увреждания. Не са напълно покрити и потребностите от дневна грижа за деца с трайни увреждания;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Осигуряването на равен достъп до услуги на всички нуждаещи се чрез планиране на социални услуги, съгласно реалните потребности и нужди и равномерно разпределение на социалните услуги на територията на област Варна са съществена част от политиките на областната и общинските администрации.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Област Варна се отличава като притегателен център за целия североизточен район, което се отразява, както на необходимостта от достатъчен брой социални услуги, така и на обхвата на техния спектър.</w:t>
      </w:r>
    </w:p>
    <w:p>
      <w:pPr>
        <w:keepNext w:val="true"/>
        <w:numPr>
          <w:ilvl w:val="0"/>
          <w:numId w:val="4677"/>
        </w:numPr>
        <w:tabs>
          <w:tab w:val="left" w:pos="718" w:leader="none"/>
        </w:tabs>
        <w:spacing w:before="360" w:after="120" w:line="240"/>
        <w:ind w:right="0" w:left="718" w:hanging="576"/>
        <w:jc w:val="both"/>
        <w:rPr>
          <w:rFonts w:ascii="Times New Roman" w:hAnsi="Times New Roman" w:cs="Times New Roman" w:eastAsia="Times New Roman"/>
          <w:b/>
          <w:color w:val="003366"/>
          <w:spacing w:val="0"/>
          <w:position w:val="0"/>
          <w:sz w:val="28"/>
          <w:shd w:fill="auto" w:val="clear"/>
        </w:rPr>
      </w:pPr>
      <w:r>
        <w:rPr>
          <w:rFonts w:ascii="Times New Roman" w:hAnsi="Times New Roman" w:cs="Times New Roman" w:eastAsia="Times New Roman"/>
          <w:b/>
          <w:color w:val="003366"/>
          <w:spacing w:val="0"/>
          <w:position w:val="0"/>
          <w:sz w:val="28"/>
          <w:shd w:fill="auto" w:val="clear"/>
        </w:rPr>
        <w:t xml:space="preserve">ОБЛАСТ ДОБРИЧ</w:t>
      </w:r>
    </w:p>
    <w:p>
      <w:pPr>
        <w:keepNext w:val="true"/>
        <w:numPr>
          <w:ilvl w:val="0"/>
          <w:numId w:val="4677"/>
        </w:numPr>
        <w:tabs>
          <w:tab w:val="left" w:pos="862" w:leader="none"/>
          <w:tab w:val="left" w:pos="1430" w:leader="none"/>
        </w:tabs>
        <w:spacing w:before="360" w:after="12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БАЛЧИК</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Балчик информацията за населението по настоящ адрес е получена от информационна система ГРАО, Отдел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Статистически изследвания“ гр. Балчик и от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Балчик, към 31.12.2021 г. е 21 370 жители, от тях 3 812 деца до 18-годишна възраст (17,8%). Общия брой на лицата с трайни увреждания е 1987, от тях деца 21 (1,06%).</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Балчик са разкрити 6 социални услуги, които се предоставят в града. Общият капацитет на социалните услуги е 185 потребители, в т.ч. 46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799"/>
        <w:gridCol w:w="1256"/>
        <w:gridCol w:w="1029"/>
        <w:gridCol w:w="879"/>
        <w:gridCol w:w="1611"/>
        <w:gridCol w:w="1611"/>
        <w:gridCol w:w="875"/>
      </w:tblGrid>
      <w:tr>
        <w:trPr>
          <w:trHeight w:val="1" w:hRule="atLeast"/>
          <w:jc w:val="left"/>
        </w:trPr>
        <w:tc>
          <w:tcPr>
            <w:tcW w:w="179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25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102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w:t>
            </w:r>
          </w:p>
        </w:tc>
        <w:tc>
          <w:tcPr>
            <w:tcW w:w="87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161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161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ЦНСТСХ</w:t>
            </w:r>
          </w:p>
        </w:tc>
        <w:tc>
          <w:tcPr>
            <w:tcW w:w="87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179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25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02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7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61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6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79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25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02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87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c>
          <w:tcPr>
            <w:tcW w:w="161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16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8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46</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Балчик</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Балчик има 34 лица  желаещите да ползват социалната услуга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Балчик,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Балчик, от други общини е 2 потребители от община Варна.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Балчик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Процесът на обезлюдяване, характерен за страната като цяло, не засяга община Балчик с темповете, които са характерни за преобладаващата част от общините в страната.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Намаляването на населението при различните възрастови групи на територията на Община Балчик варира между 2 и 15% за разглеждания период. Най-осезаемо е в групите между 25-29 г. (15,4%) и 20-24 г. (13,5%).</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в община Балчик са обезпечени с 36 щатни бройки, необходими за предоставянето им. Незаетите бройки в социалните услуги са 2.</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4692"/>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ГЕНЕРАЛ ТОШЕВО</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Генерал Тошево информацията за населението по настоящ адрес е получена от НСИ,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 и ГРАО.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Генерал Тошево към 31.12.2021 г. е 12 165 жители, от тях 1686 деца до 18-годишна възраст (13,8%). Общия брой на лицата с трайни увреждания е 925, от тях деца 23 (2,5%).</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Генерал Тошево са разкрити 2 социални услуги, Общият капацитет на социалните услуги е за 70 потребители, в т.ч. 50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892"/>
        <w:gridCol w:w="2394"/>
        <w:gridCol w:w="1774"/>
      </w:tblGrid>
      <w:tr>
        <w:trPr>
          <w:trHeight w:val="1" w:hRule="atLeast"/>
          <w:jc w:val="left"/>
        </w:trPr>
        <w:tc>
          <w:tcPr>
            <w:tcW w:w="489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39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177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left"/>
        </w:trPr>
        <w:tc>
          <w:tcPr>
            <w:tcW w:w="489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39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7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89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39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77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50</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Генерал Тошево.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Генерал Тошево е 5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Генерал Тошево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социалните услуги на територията на община Генерал Тошево няма потребители от други общини.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Генерал Тошево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Графиката показва, намаление на общия брой на населението на общината. Високите стойности на смъртността и относително невисоките стойности на раждаемост водят до отрицателен естествен прираст за територията на община Генерал Тошево. Показателите за механичния прираст на населението показват запазване на тенденцията за увеличаване на външните миграции, предизвикани от лошата икономическа обстановка и високия процент на безработица.</w:t>
      </w:r>
    </w:p>
    <w:p>
      <w:pPr>
        <w:tabs>
          <w:tab w:val="left" w:pos="709" w:leader="none"/>
        </w:tabs>
        <w:suppressAutoHyphens w:val="true"/>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Малък е броя на незаетите позиции в социалните услуги на територията на общината. Основно не заети са длъжностите за основни специалисти, осъществяващи дейности по предоставяне на СУ като психолози, логопеди, педагози, рехабилитатори и т.н. Проблем е и наемането на социални работници с висше образование, поради което в част от социалните услуги са наети сътрудници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социална работа, със средно образование. Недостатъчни са специалистите в общината в трудоспособна възраст за предоставяне на медицински грижи в социалните услуги.</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4717"/>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ДОБРИЧКА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Добричка информацията за населението по настоящ адрес е получена от НСИ и информационна система ГРАО. Общинска администрация,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подпомагане”-Добрич,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Добричка към 31.12.2021 г. е 23 348 жители, от тях 4291 (деца до 18-годишна възраст (18,4%). Общия брой на лицата с трайни увреждания е 1459, от тях деца 57 (3,9%).</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Добричка са разкрити 3 социални услуги, от тях 2 се предоставят в с. Опанец. Общият капацитет на социалните услуги е 279 потребители, в т.ч. 214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76"/>
        <w:gridCol w:w="1825"/>
        <w:gridCol w:w="2908"/>
        <w:gridCol w:w="1151"/>
      </w:tblGrid>
      <w:tr>
        <w:trPr>
          <w:trHeight w:val="1" w:hRule="atLeast"/>
          <w:jc w:val="left"/>
        </w:trPr>
        <w:tc>
          <w:tcPr>
            <w:tcW w:w="317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82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ДПЛД</w:t>
            </w:r>
          </w:p>
        </w:tc>
        <w:tc>
          <w:tcPr>
            <w:tcW w:w="290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ЦНСТПЛД</w:t>
            </w:r>
          </w:p>
        </w:tc>
        <w:tc>
          <w:tcPr>
            <w:tcW w:w="115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31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8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9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1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8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50</w:t>
            </w:r>
          </w:p>
        </w:tc>
        <w:tc>
          <w:tcPr>
            <w:tcW w:w="29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11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214</w:t>
            </w:r>
          </w:p>
        </w:tc>
      </w:tr>
    </w:tbl>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Добричка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Добричка е 23 лица. Интересът към услугата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Асистентска подкрепа“ е голям. Много от лицата желаещи да ползват услугата са лица с трайни увреждания с </w:t>
      </w:r>
      <w:r>
        <w:rPr>
          <w:rFonts w:ascii="Times New Roman" w:hAnsi="Times New Roman" w:cs="Times New Roman" w:eastAsia="Times New Roman"/>
          <w:color w:val="000000"/>
          <w:spacing w:val="0"/>
          <w:position w:val="0"/>
          <w:sz w:val="24"/>
          <w:shd w:fill="auto" w:val="clear"/>
        </w:rPr>
        <w:t xml:space="preserve">установени вид и степен на увреждане</w:t>
      </w:r>
      <w:r>
        <w:rPr>
          <w:rFonts w:ascii="Times New Roman" w:hAnsi="Times New Roman" w:cs="Times New Roman" w:eastAsia="Times New Roman"/>
          <w:color w:val="auto"/>
          <w:spacing w:val="0"/>
          <w:position w:val="0"/>
          <w:sz w:val="24"/>
          <w:shd w:fill="auto" w:val="clear"/>
        </w:rPr>
        <w:t xml:space="preserve">, но без чужда помощ и не попадат в обхвата на целевата група на услугата.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ДПЛД</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Добричка,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Добричка, няма потребители от други общини ползващи социални услуги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Добричка за последните 5 години</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6"/>
          <w:position w:val="0"/>
          <w:sz w:val="24"/>
          <w:shd w:fill="auto" w:val="clear"/>
        </w:rPr>
        <w:t xml:space="preserve">Проследявайки населението на община Добричка</w:t>
      </w:r>
      <w:r>
        <w:rPr>
          <w:rFonts w:ascii="Times New Roman" w:hAnsi="Times New Roman" w:cs="Times New Roman" w:eastAsia="Times New Roman"/>
          <w:color w:val="auto"/>
          <w:spacing w:val="0"/>
          <w:position w:val="0"/>
          <w:sz w:val="24"/>
          <w:shd w:fill="auto" w:val="clear"/>
        </w:rPr>
        <w:t xml:space="preserve"> през периода от 2017г. до 2021г. се налагат следните изводи: Макар и с по-плавен темп, тенденцията на населението в община Добричка следва общата тенденция на намаление на населението в областта.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Особеностите на административното устройство на общината определят изцяло селският характер на населението. Механичният прираст на община Добричка демонстрира динамични тенденции, които в по-голямата част на периода са положителни. Нарастващият брой на заселилите се вероятно е свързан с административните особености на двете общини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Добрич и Добричка, и възможността за ежедневни трудови пътувания до гр. Добрич на жителите на близките села. Положителният механичен прираст е един от факторите за сравнително малкото намаление на населението на община Добричка.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Планирането на необходимите човешки ресурси във всяка една социална услуга, обхваща бъдещото обезпечаване с необходимия брой и вид специалисти, предвид на спецификата на вида услуги и целевата група, към която е насочена подкрепата. Ключово е постигането на достатъчно ресурси от специалисти за посрещане и на най-специфичните потребности на населението и особено на най-уязвимите от тях. След трансформиране на услугите, съгласно Наредбата за качество на социалните услуги ще е необходимо да се увеличат щатните бройки в ЦНСТ, спрямо ново определените капацитети на услугите по чл.15 от ЗСУ. Община Добричка гарантира, че при разкриване на услуги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общодостъпни, дневни и резидентни, ще се осигури необходимия специализиран и общ персонал.</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4741"/>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ДОБРИЧ-ГРАД</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за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Добрич-град информацията за населението по настоящ адрес е получена от информационна система ГРАО,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АХУ, както и от социалните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Добрич-град, към 31.12.2021 г. е 79269 жители, от тях 14188 деца до 18-годишна възраст (17,9%). Общия брой на лицата с трайни увреждания е 11971 от тях деца 242 (2,02%).</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Добрич-град са разкрити 18 социални услуги, от тях всички се предоставят в гр. Добрич . Общият капацитет на социалните услуги е 525 потребители, в т.ч. 47 асистентска подкрепа.</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tbl>
      <w:tblPr/>
      <w:tblGrid>
        <w:gridCol w:w="1588"/>
        <w:gridCol w:w="1118"/>
        <w:gridCol w:w="1127"/>
        <w:gridCol w:w="1329"/>
        <w:gridCol w:w="974"/>
        <w:gridCol w:w="1418"/>
        <w:gridCol w:w="1506"/>
      </w:tblGrid>
      <w:tr>
        <w:trPr>
          <w:trHeight w:val="290" w:hRule="auto"/>
          <w:jc w:val="left"/>
        </w:trPr>
        <w:tc>
          <w:tcPr>
            <w:tcW w:w="158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11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112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132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ЦСРИПЛ</w:t>
            </w:r>
          </w:p>
        </w:tc>
        <w:tc>
          <w:tcPr>
            <w:tcW w:w="97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 </w:t>
            </w:r>
          </w:p>
        </w:tc>
        <w:tc>
          <w:tcPr>
            <w:tcW w:w="141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150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r>
      <w:tr>
        <w:trPr>
          <w:trHeight w:val="1" w:hRule="atLeast"/>
          <w:jc w:val="left"/>
        </w:trPr>
        <w:tc>
          <w:tcPr>
            <w:tcW w:w="15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11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3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1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15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11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70</w:t>
            </w:r>
          </w:p>
        </w:tc>
        <w:tc>
          <w:tcPr>
            <w:tcW w:w="11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70</w:t>
            </w:r>
          </w:p>
        </w:tc>
        <w:tc>
          <w:tcPr>
            <w:tcW w:w="13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45</w:t>
            </w:r>
          </w:p>
        </w:tc>
        <w:tc>
          <w:tcPr>
            <w:tcW w:w="9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55</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45</w:t>
            </w:r>
          </w:p>
        </w:tc>
        <w:tc>
          <w:tcPr>
            <w:tcW w:w="1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56</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317"/>
        <w:gridCol w:w="1658"/>
        <w:gridCol w:w="1671"/>
        <w:gridCol w:w="1970"/>
        <w:gridCol w:w="1444"/>
      </w:tblGrid>
      <w:tr>
        <w:trPr>
          <w:trHeight w:val="297" w:hRule="auto"/>
          <w:jc w:val="left"/>
        </w:trPr>
        <w:tc>
          <w:tcPr>
            <w:tcW w:w="231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65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ПЖ</w:t>
            </w:r>
          </w:p>
        </w:tc>
        <w:tc>
          <w:tcPr>
            <w:tcW w:w="167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197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144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r>
      <w:tr>
        <w:trPr>
          <w:trHeight w:val="1" w:hRule="atLeast"/>
          <w:jc w:val="left"/>
        </w:trPr>
        <w:tc>
          <w:tcPr>
            <w:tcW w:w="23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65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6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9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3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65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6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19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47</w:t>
            </w:r>
          </w:p>
        </w:tc>
        <w:tc>
          <w:tcPr>
            <w:tcW w:w="14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115</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Добрич-град</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чакащите да ползват социални услуги на територията на Община град Добрич е 166 лица, както следва: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140</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ДЦПЛУ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ЗЖЛУИ</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Добрич-град,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Добрич, от други общини е 103.</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tbl>
      <w:tblPr/>
      <w:tblGrid>
        <w:gridCol w:w="4546"/>
        <w:gridCol w:w="4514"/>
      </w:tblGrid>
      <w:tr>
        <w:trPr>
          <w:trHeight w:val="118" w:hRule="auto"/>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ЦНСТДМУ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ЗЖЛУИ</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ПЖ</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ЦНСТДБУ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26</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ДЦПЛУ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ДЦДУ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Добрич-град  за последните 5 години</w:t>
      </w:r>
    </w:p>
    <w:p>
      <w:pPr>
        <w:spacing w:before="0" w:after="0" w:line="240"/>
        <w:ind w:right="0" w:left="0" w:firstLine="0"/>
        <w:jc w:val="left"/>
        <w:rPr>
          <w:rFonts w:ascii="Times New Roman" w:hAnsi="Times New Roman" w:cs="Times New Roman" w:eastAsia="Times New Roman"/>
          <w:b/>
          <w:i/>
          <w:color w:val="auto"/>
          <w:spacing w:val="0"/>
          <w:position w:val="0"/>
          <w:sz w:val="24"/>
          <w:shd w:fill="auto" w:val="clear"/>
        </w:rPr>
      </w:pPr>
    </w:p>
    <w:p>
      <w:pPr>
        <w:spacing w:before="0" w:after="0" w:line="240"/>
        <w:ind w:right="0" w:left="0" w:firstLine="567"/>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Тенденцията в развитието на населението, показва продължаване на негативните процеси и свързаните с това социални и икономически и социални последици, свързани с влошаване на процесите на застаряване, намаляване на трудоспособното население, увеличаване на нуждата от развитие на социалните услуги и др. По отношение на половата структура, жените съставляват 52,4% от населението на община Добрич, което се дължи на по - високата средна продължителност на живот на жените и по - високите нива на смъртност в средните и високи възрасти при мъжете.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Персоналът в социалните услуги държавно делегирана дейност в община Добрич-град е 234,5 щатни бройки. Свободните щатни бройки са 13,5 от които: 4 за социален работник, 2 за трудотерапевт, 1 за ерготерапевт, по 1 за педагог и логопед, както и за болногледач, асистент, санитар и шофьор.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4812"/>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КАВАРНА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Каварна информацията за населението по настоящ адрес е получена от НСИ, ДСП,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ГРАО“ на общината.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Каварна към 31.12.2021 г. е 16 056 жители, от тях 2683 деца до 18-годишна възраст (16,7%). Общия брой на лицата с трайни увреждания е 911, от тях деца 25 (2,74%).</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68"/>
        <w:ind w:right="48" w:left="-15" w:firstLine="422"/>
        <w:jc w:val="both"/>
        <w:rPr>
          <w:rFonts w:ascii="Times New Roman" w:hAnsi="Times New Roman" w:cs="Times New Roman" w:eastAsia="Times New Roman"/>
          <w:color w:val="000000"/>
          <w:spacing w:val="0"/>
          <w:position w:val="0"/>
          <w:sz w:val="24"/>
          <w:shd w:fill="auto" w:val="clear"/>
        </w:rPr>
      </w:pPr>
    </w:p>
    <w:p>
      <w:pPr>
        <w:spacing w:before="0" w:after="0" w:line="268"/>
        <w:ind w:right="48" w:left="-15" w:firstLine="422"/>
        <w:jc w:val="both"/>
        <w:rPr>
          <w:rFonts w:ascii="Times New Roman" w:hAnsi="Times New Roman" w:cs="Times New Roman" w:eastAsia="Times New Roman"/>
          <w:color w:val="000000"/>
          <w:spacing w:val="0"/>
          <w:position w:val="0"/>
          <w:sz w:val="24"/>
          <w:shd w:fill="auto" w:val="clear"/>
        </w:rPr>
      </w:pPr>
    </w:p>
    <w:p>
      <w:pPr>
        <w:spacing w:before="0" w:after="0" w:line="268"/>
        <w:ind w:right="48" w:left="-15" w:firstLine="422"/>
        <w:jc w:val="both"/>
        <w:rPr>
          <w:rFonts w:ascii="Times New Roman" w:hAnsi="Times New Roman" w:cs="Times New Roman" w:eastAsia="Times New Roman"/>
          <w:color w:val="000000"/>
          <w:spacing w:val="0"/>
          <w:position w:val="0"/>
          <w:sz w:val="24"/>
          <w:shd w:fill="auto" w:val="clear"/>
        </w:rPr>
      </w:pPr>
    </w:p>
    <w:p>
      <w:pPr>
        <w:spacing w:before="0" w:after="0" w:line="268"/>
        <w:ind w:right="48" w:left="-15" w:firstLine="422"/>
        <w:jc w:val="both"/>
        <w:rPr>
          <w:rFonts w:ascii="Times New Roman" w:hAnsi="Times New Roman" w:cs="Times New Roman" w:eastAsia="Times New Roman"/>
          <w:color w:val="000000"/>
          <w:spacing w:val="0"/>
          <w:position w:val="0"/>
          <w:sz w:val="24"/>
          <w:shd w:fill="auto" w:val="clear"/>
        </w:rPr>
      </w:pPr>
    </w:p>
    <w:p>
      <w:pPr>
        <w:spacing w:before="0" w:after="0" w:line="268"/>
        <w:ind w:right="48" w:left="-15" w:firstLine="422"/>
        <w:jc w:val="both"/>
        <w:rPr>
          <w:rFonts w:ascii="Times New Roman" w:hAnsi="Times New Roman" w:cs="Times New Roman" w:eastAsia="Times New Roman"/>
          <w:color w:val="000000"/>
          <w:spacing w:val="0"/>
          <w:position w:val="0"/>
          <w:sz w:val="24"/>
          <w:shd w:fill="auto" w:val="clear"/>
        </w:rPr>
      </w:pPr>
    </w:p>
    <w:p>
      <w:pPr>
        <w:spacing w:before="0" w:after="0" w:line="268"/>
        <w:ind w:right="48" w:left="-15" w:firstLine="422"/>
        <w:jc w:val="both"/>
        <w:rPr>
          <w:rFonts w:ascii="Times New Roman" w:hAnsi="Times New Roman" w:cs="Times New Roman" w:eastAsia="Times New Roman"/>
          <w:color w:val="000000"/>
          <w:spacing w:val="0"/>
          <w:position w:val="0"/>
          <w:sz w:val="24"/>
          <w:shd w:fill="auto" w:val="clear"/>
        </w:rPr>
      </w:pPr>
    </w:p>
    <w:p>
      <w:pPr>
        <w:spacing w:before="0" w:after="0" w:line="268"/>
        <w:ind w:right="48" w:left="-15" w:firstLine="422"/>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Каварна са разкрити 2 социални услуги с общ капацитет 159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380"/>
        <w:gridCol w:w="3091"/>
        <w:gridCol w:w="1589"/>
      </w:tblGrid>
      <w:tr>
        <w:trPr>
          <w:trHeight w:val="1" w:hRule="atLeast"/>
          <w:jc w:val="left"/>
        </w:trPr>
        <w:tc>
          <w:tcPr>
            <w:tcW w:w="438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309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ДПЛУИ</w:t>
            </w:r>
          </w:p>
        </w:tc>
        <w:tc>
          <w:tcPr>
            <w:tcW w:w="158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43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30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3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30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120</w:t>
            </w:r>
          </w:p>
        </w:tc>
        <w:tc>
          <w:tcPr>
            <w:tcW w:w="15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39</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Каварна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Каварна е 62 лица.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Асистентска подкрепа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39</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ДПЛУИ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Каварна,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Каварна, от други общини е 113.</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6"/>
        <w:gridCol w:w="4514"/>
      </w:tblGrid>
      <w:tr>
        <w:trPr>
          <w:trHeight w:val="118" w:hRule="auto"/>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ДПЛУИ</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113</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Каварна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показател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население“ община Каварна попада в категорията на малките общини (с население до 30 хиляди души). По данни на отдел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ГРАО“ към община Каварна през 2021 г. населението на община Каварна е 15 466 души, на град Каварна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12 128 </w:t>
      </w:r>
      <w:r>
        <w:rPr>
          <w:rFonts w:ascii="Times New Roman" w:hAnsi="Times New Roman" w:cs="Times New Roman" w:eastAsia="Times New Roman"/>
          <w:color w:val="auto"/>
          <w:spacing w:val="0"/>
          <w:position w:val="0"/>
          <w:sz w:val="24"/>
          <w:shd w:fill="auto" w:val="clear"/>
        </w:rPr>
        <w:t xml:space="preserve">души, на селата от общината 3 338 души. Община Каварна е с отрицателен прираст на населението.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Градското население като абсолютен брой за периода 2017-2021 г. бележи тенденция на намаление (от 12480 души през 2017 г. на 12128 души през 2021 г.) или средногодишно с 0.97%. Населението на селата също намалява за периода от 3626 души през 2017 г. на 3338 д. през 2021 г. или с 1,08 %. Процентното съотношение на градското спрямо селското население за 5-годишния период е равномерно, като средно 22 % от общото население живее в селата от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Гъстотата на населението е средно 32,9 души на кв. км. Най-населените села от общината са с. Българево, с. Септемврийци и с. Белгун, в които живее най-голям процент от селското население. </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Характеристиката на естественото движение на населението на община Каварна за периода 2017-2021 г. показва, че раждаемостта не би могла да компенсира повишената смъртност на населението. За анализирания период броят на родените лица в общината се движи в диапазона 123 - 142 души годишно, като през 2021 г. те са 127. Смъртността през 2021 година е най-висока за отчетния период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330 </w:t>
      </w:r>
      <w:r>
        <w:rPr>
          <w:rFonts w:ascii="Times New Roman" w:hAnsi="Times New Roman" w:cs="Times New Roman" w:eastAsia="Times New Roman"/>
          <w:color w:val="auto"/>
          <w:spacing w:val="0"/>
          <w:position w:val="0"/>
          <w:sz w:val="24"/>
          <w:shd w:fill="auto" w:val="clear"/>
        </w:rPr>
        <w:t xml:space="preserve">души, а естественият прираст е с отрицателна стойност -203 (минус 203 души).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 анализирания период 2017-2021 г. темповете на намаляване на годишния брой на населението на община Каварна са относително равномерни, като средно за периода намалението е 1 %. Механичният прираст на населението е с положителни стойности, като за 2021 г. е 95 (плюс 95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 оглед планираното създаване на социална услуга, в бъдеще ще има необходимост от персонал за обезпечаване на дейностите.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4841"/>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КРУШАРИ</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Крушари информацията за населението по настоящ адрес е получена от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ГРАО“ на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Административно обслужване и финанси“ на общината, Агенцията за хората с увреждания, кметове и кметски наместници.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Крушари, към 31.12.2021 г. е 4222 жители, от тях 800 деца до 18-годишна възраст (18,95%). Общия брой на лицата с трайни увреждания е 233, от тях деца 5 (2,15%).</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76"/>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Крушари са разкрити 4 социални услуги, Общият капацитет на социалните услуги е за 65 потребители, в т.ч. 15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923"/>
        <w:gridCol w:w="2064"/>
        <w:gridCol w:w="1674"/>
        <w:gridCol w:w="1339"/>
        <w:gridCol w:w="1060"/>
      </w:tblGrid>
      <w:tr>
        <w:trPr>
          <w:trHeight w:val="1" w:hRule="atLeast"/>
          <w:jc w:val="left"/>
        </w:trPr>
        <w:tc>
          <w:tcPr>
            <w:tcW w:w="292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06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167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w:t>
            </w:r>
          </w:p>
        </w:tc>
        <w:tc>
          <w:tcPr>
            <w:tcW w:w="133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10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29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0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6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3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0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9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0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6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3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c>
          <w:tcPr>
            <w:tcW w:w="10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bl>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Крушари.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Крушари е 46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ЗЖЛУИ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Асистентска подкрепа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 </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Крушари,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Потребители от други общини, които ползват услугите, функциониращи на територията на община Крушари, са както следва: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6"/>
        <w:gridCol w:w="4514"/>
      </w:tblGrid>
      <w:tr>
        <w:trPr>
          <w:trHeight w:val="118" w:hRule="auto"/>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ЗЖЛУИ</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Крушари за последните 5 години</w:t>
      </w:r>
    </w:p>
    <w:p>
      <w:pPr>
        <w:spacing w:before="0" w:after="0" w:line="276"/>
        <w:ind w:right="0" w:left="0" w:firstLine="0"/>
        <w:jc w:val="both"/>
        <w:rPr>
          <w:rFonts w:ascii="Times New Roman" w:hAnsi="Times New Roman" w:cs="Times New Roman" w:eastAsia="Times New Roman"/>
          <w:color w:val="auto"/>
          <w:spacing w:val="0"/>
          <w:position w:val="0"/>
          <w:sz w:val="20"/>
          <w:u w:val="single"/>
          <w:shd w:fill="auto" w:val="clear"/>
        </w:rPr>
      </w:pPr>
    </w:p>
    <w:p>
      <w:pPr>
        <w:spacing w:before="0" w:after="0" w:line="276"/>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76"/>
        <w:ind w:right="0" w:left="0" w:firstLine="0"/>
        <w:jc w:val="both"/>
        <w:rPr>
          <w:rFonts w:ascii="Times New Roman" w:hAnsi="Times New Roman" w:cs="Times New Roman" w:eastAsia="Times New Roman"/>
          <w:color w:val="auto"/>
          <w:spacing w:val="0"/>
          <w:position w:val="0"/>
          <w:sz w:val="20"/>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Налице са тенденции за намаляване на населението. Приблизително 50% от населението е съсредоточено в общинския център, като гъстотата му е 40,08 души на кв. км.</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 периода 2017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2021 </w:t>
      </w:r>
      <w:r>
        <w:rPr>
          <w:rFonts w:ascii="Times New Roman" w:hAnsi="Times New Roman" w:cs="Times New Roman" w:eastAsia="Times New Roman"/>
          <w:color w:val="auto"/>
          <w:spacing w:val="0"/>
          <w:position w:val="0"/>
          <w:sz w:val="24"/>
          <w:shd w:fill="auto" w:val="clear"/>
        </w:rPr>
        <w:t xml:space="preserve">г. естествения прираст на населението е с отрицателни стойности (родени 192, починали 440 души).</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момента на извършване на анализа общия брой служители, който е ангажиран в предоставяне на социални услуги е 33 и няма свободни длъжности.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4880"/>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ТЕРВЕЛ</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са използвани официални източници на информация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данни на Националния статистически институт, инструментите на ГРАО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Национална база данни, Локална база данни. Данни от ДСП, ДБТ, учебни заведения.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Тервел, към 31.12.2021 г. е 14 941 жители, от тях 2859 деца до 18-годишна възраст (19,14%). Общия брой на лицата с трайни увреждания е 1082, от тях деца 30 (2,77%).</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Тервел са разкрити 2 социални услуги, Общият капацитет на социалните услуги е за 64 потребители, в т.ч. 39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379"/>
        <w:gridCol w:w="3094"/>
        <w:gridCol w:w="1587"/>
      </w:tblGrid>
      <w:tr>
        <w:trPr>
          <w:trHeight w:val="1" w:hRule="atLeast"/>
          <w:jc w:val="left"/>
        </w:trPr>
        <w:tc>
          <w:tcPr>
            <w:tcW w:w="437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309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158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437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30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37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30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c>
          <w:tcPr>
            <w:tcW w:w="1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39</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Тервел</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Тервел е 3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Тервел, различна от  общината по настоящ адрес</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tbl>
      <w:tblPr/>
      <w:tblGrid>
        <w:gridCol w:w="4546"/>
        <w:gridCol w:w="4514"/>
      </w:tblGrid>
      <w:tr>
        <w:trPr>
          <w:trHeight w:val="118" w:hRule="auto"/>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Тервел за последните 5 години</w:t>
      </w:r>
    </w:p>
    <w:p>
      <w:pPr>
        <w:spacing w:before="0" w:after="0" w:line="276"/>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76"/>
        <w:ind w:right="145" w:left="0" w:firstLine="0"/>
        <w:jc w:val="both"/>
        <w:rPr>
          <w:rFonts w:ascii="Times New Roman" w:hAnsi="Times New Roman" w:cs="Times New Roman" w:eastAsia="Times New Roman"/>
          <w:color w:val="auto"/>
          <w:spacing w:val="0"/>
          <w:position w:val="0"/>
          <w:sz w:val="24"/>
          <w:shd w:fill="FFFFFF"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Динамиката на населението в община Тервел показва, че броят на населението е бил най-висок</w:t>
      </w:r>
      <w:r>
        <w:rPr>
          <w:rFonts w:ascii="Times New Roman" w:hAnsi="Times New Roman" w:cs="Times New Roman" w:eastAsia="Times New Roman"/>
          <w:color w:val="auto"/>
          <w:spacing w:val="36"/>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през</w:t>
      </w:r>
      <w:r>
        <w:rPr>
          <w:rFonts w:ascii="Times New Roman" w:hAnsi="Times New Roman" w:cs="Times New Roman" w:eastAsia="Times New Roman"/>
          <w:color w:val="auto"/>
          <w:spacing w:val="38"/>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1956 г.</w:t>
      </w:r>
      <w:r>
        <w:rPr>
          <w:rFonts w:ascii="Times New Roman" w:hAnsi="Times New Roman" w:cs="Times New Roman" w:eastAsia="Times New Roman"/>
          <w:color w:val="auto"/>
          <w:spacing w:val="37"/>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(30214</w:t>
      </w:r>
      <w:r>
        <w:rPr>
          <w:rFonts w:ascii="Times New Roman" w:hAnsi="Times New Roman" w:cs="Times New Roman" w:eastAsia="Times New Roman"/>
          <w:color w:val="auto"/>
          <w:spacing w:val="37"/>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д.),</w:t>
      </w:r>
      <w:r>
        <w:rPr>
          <w:rFonts w:ascii="Times New Roman" w:hAnsi="Times New Roman" w:cs="Times New Roman" w:eastAsia="Times New Roman"/>
          <w:color w:val="auto"/>
          <w:spacing w:val="37"/>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но</w:t>
      </w:r>
      <w:r>
        <w:rPr>
          <w:rFonts w:ascii="Times New Roman" w:hAnsi="Times New Roman" w:cs="Times New Roman" w:eastAsia="Times New Roman"/>
          <w:color w:val="auto"/>
          <w:spacing w:val="37"/>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от</w:t>
      </w:r>
      <w:r>
        <w:rPr>
          <w:rFonts w:ascii="Times New Roman" w:hAnsi="Times New Roman" w:cs="Times New Roman" w:eastAsia="Times New Roman"/>
          <w:color w:val="auto"/>
          <w:spacing w:val="36"/>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тогава</w:t>
      </w:r>
      <w:r>
        <w:rPr>
          <w:rFonts w:ascii="Times New Roman" w:hAnsi="Times New Roman" w:cs="Times New Roman" w:eastAsia="Times New Roman"/>
          <w:color w:val="auto"/>
          <w:spacing w:val="35"/>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до</w:t>
      </w:r>
      <w:r>
        <w:rPr>
          <w:rFonts w:ascii="Times New Roman" w:hAnsi="Times New Roman" w:cs="Times New Roman" w:eastAsia="Times New Roman"/>
          <w:color w:val="auto"/>
          <w:spacing w:val="37"/>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сега</w:t>
      </w:r>
      <w:r>
        <w:rPr>
          <w:rFonts w:ascii="Times New Roman" w:hAnsi="Times New Roman" w:cs="Times New Roman" w:eastAsia="Times New Roman"/>
          <w:color w:val="auto"/>
          <w:spacing w:val="35"/>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намалява</w:t>
      </w:r>
      <w:r>
        <w:rPr>
          <w:rFonts w:ascii="Times New Roman" w:hAnsi="Times New Roman" w:cs="Times New Roman" w:eastAsia="Times New Roman"/>
          <w:color w:val="auto"/>
          <w:spacing w:val="39"/>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почти</w:t>
      </w:r>
      <w:r>
        <w:rPr>
          <w:rFonts w:ascii="Times New Roman" w:hAnsi="Times New Roman" w:cs="Times New Roman" w:eastAsia="Times New Roman"/>
          <w:color w:val="auto"/>
          <w:spacing w:val="38"/>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двойно,</w:t>
      </w:r>
      <w:r>
        <w:rPr>
          <w:rFonts w:ascii="Times New Roman" w:hAnsi="Times New Roman" w:cs="Times New Roman" w:eastAsia="Times New Roman"/>
          <w:color w:val="auto"/>
          <w:spacing w:val="36"/>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достигайки</w:t>
      </w:r>
      <w:r>
        <w:rPr>
          <w:rFonts w:ascii="Times New Roman" w:hAnsi="Times New Roman" w:cs="Times New Roman" w:eastAsia="Times New Roman"/>
          <w:color w:val="auto"/>
          <w:spacing w:val="38"/>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до 16</w:t>
      </w:r>
      <w:r>
        <w:rPr>
          <w:rFonts w:ascii="Times New Roman" w:hAnsi="Times New Roman" w:cs="Times New Roman" w:eastAsia="Times New Roman"/>
          <w:color w:val="auto"/>
          <w:spacing w:val="-1"/>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178</w:t>
      </w:r>
      <w:r>
        <w:rPr>
          <w:rFonts w:ascii="Times New Roman" w:hAnsi="Times New Roman" w:cs="Times New Roman" w:eastAsia="Times New Roman"/>
          <w:color w:val="auto"/>
          <w:spacing w:val="43"/>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души</w:t>
      </w:r>
      <w:r>
        <w:rPr>
          <w:rFonts w:ascii="Times New Roman" w:hAnsi="Times New Roman" w:cs="Times New Roman" w:eastAsia="Times New Roman"/>
          <w:color w:val="auto"/>
          <w:spacing w:val="45"/>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през</w:t>
      </w:r>
      <w:r>
        <w:rPr>
          <w:rFonts w:ascii="Times New Roman" w:hAnsi="Times New Roman" w:cs="Times New Roman" w:eastAsia="Times New Roman"/>
          <w:color w:val="auto"/>
          <w:spacing w:val="44"/>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2011 г. През 2021 г. вече е 14 941 души.</w:t>
      </w:r>
    </w:p>
    <w:p>
      <w:pPr>
        <w:spacing w:before="0" w:after="0" w:line="240"/>
        <w:ind w:right="0" w:left="0" w:firstLine="0"/>
        <w:jc w:val="both"/>
        <w:rPr>
          <w:rFonts w:ascii="Times New Roman" w:hAnsi="Times New Roman" w:cs="Times New Roman" w:eastAsia="Times New Roman"/>
          <w:color w:val="auto"/>
          <w:spacing w:val="0"/>
          <w:position w:val="0"/>
          <w:sz w:val="24"/>
          <w:shd w:fill="FFFFFF"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Планирането на необходимите човешки ресурси във всяка една социална услуга, обхваща бъдещото обезпечаване с необходимия брой и вид специалисти, предвид на спецификата на вида услуги и целевата група, към която е насочена подкрепата.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Ключово е постигането на достатъчно ресурси от специалисти за посрещане и на най-специфичните потребности на населението и особено на най-уязвимите от тях. Дефицитът на кадри с медицинско образование и в сферата на социалните науки е силно изразен и представлява основен риск за разкриването и функционирането на нови социални услуги. Работещите медицински сестри са в пенсионна или предпенсионна възраст, липсват социални работници. За съжаление негативната тенденция с годините са задълбочава, въпреки усилията и мерките, които предприемат общинска администрация и Общински съвет гр. Тервел.</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След трансформиране на услугите, съгласно Наредбата за качество на социалните услуги и разкриването на нови такива ще се запазят щатните бройки спрямо капацитета на услугата, а при разкриване на нови услуги, Община Тервел гарантира, че ще осигури необходимия брой специализиран и общ персонал.</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4911"/>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ШАБЛА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са използвани официални източници на информация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данни на Националния статистически институт, инструментите на ГРАО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Национална база данни, Локална база данни. Данни от ДСП, Д БТ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Шабла, към 31.12.2021 г. е 4534 жители, от тях 539 деца до 18-годишна възраст (11,89%). Общия брой на лицата с трайни увреждания е 321, от тях деца 14 (4,36%).</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Шабла са разкрити 3социални услуги, Общият капацитет на социалните услуги е за 62 потребители, в т.ч. 17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413"/>
        <w:gridCol w:w="1669"/>
        <w:gridCol w:w="2740"/>
        <w:gridCol w:w="1238"/>
      </w:tblGrid>
      <w:tr>
        <w:trPr>
          <w:trHeight w:val="1" w:hRule="atLeast"/>
          <w:jc w:val="left"/>
        </w:trPr>
        <w:tc>
          <w:tcPr>
            <w:tcW w:w="341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66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274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ЦСРИПЛ</w:t>
            </w:r>
          </w:p>
        </w:tc>
        <w:tc>
          <w:tcPr>
            <w:tcW w:w="123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277" w:hRule="auto"/>
          <w:jc w:val="left"/>
        </w:trPr>
        <w:tc>
          <w:tcPr>
            <w:tcW w:w="341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7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41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27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2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Шабла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община Шабла няма чакащи потребители за ползване на социална услуга.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Шабла,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6"/>
        <w:gridCol w:w="4514"/>
      </w:tblGrid>
      <w:tr>
        <w:trPr>
          <w:trHeight w:val="118" w:hRule="auto"/>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Шабла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76"/>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Динамиката на населението на община Шабла не се отличава значително от тази на национално ниво. През последните десетилетия се наблюдава устойчиво намаляване на населението. Според последните данни на ГРАО за 2022 г. на територията на общината живеят 4534 души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6"/>
          <w:shd w:fill="FFFFFF"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Социалните услуги, делегирани от държавата дейности, предоставящи услуги на територията на община Шабла са обезпечени с необходимия по численост, опит и квалификация персонал, необходим за качественото им предоставяне. Развитието на персонала на двете услуги е адаптивно, за да отговори на изискванията и нуждите на потребителите като 90% от специалистите притежават необходимото образование за заемане на длъжността.</w:t>
      </w:r>
      <w:r>
        <w:rPr>
          <w:rFonts w:ascii="Times New Roman" w:hAnsi="Times New Roman" w:cs="Times New Roman" w:eastAsia="Times New Roman"/>
          <w:color w:val="auto"/>
          <w:spacing w:val="4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На служителите се осигурява възможност за повишаване на информираност за промените в законодателството в областта на социалните услуги и придобиване на</w:t>
      </w:r>
      <w:r>
        <w:rPr>
          <w:rFonts w:ascii="Times New Roman" w:hAnsi="Times New Roman" w:cs="Times New Roman" w:eastAsia="Times New Roman"/>
          <w:color w:val="auto"/>
          <w:spacing w:val="8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нови компетентности и усъвършенстване чрез провеждане на надграждащи</w:t>
      </w:r>
      <w:r>
        <w:rPr>
          <w:rFonts w:ascii="Times New Roman" w:hAnsi="Times New Roman" w:cs="Times New Roman" w:eastAsia="Times New Roman"/>
          <w:color w:val="auto"/>
          <w:spacing w:val="4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обучения, осигурява се</w:t>
      </w:r>
      <w:r>
        <w:rPr>
          <w:rFonts w:ascii="Times New Roman" w:hAnsi="Times New Roman" w:cs="Times New Roman" w:eastAsia="Times New Roman"/>
          <w:color w:val="auto"/>
          <w:spacing w:val="4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професионална и методическа подкрепа</w:t>
      </w:r>
      <w:r>
        <w:rPr>
          <w:rFonts w:ascii="Times New Roman" w:hAnsi="Times New Roman" w:cs="Times New Roman" w:eastAsia="Times New Roman"/>
          <w:color w:val="auto"/>
          <w:spacing w:val="4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чрез заложени външни и вътрешни обучения и супервизии.</w:t>
      </w:r>
    </w:p>
    <w:p>
      <w:pPr>
        <w:spacing w:before="0" w:after="0" w:line="240"/>
        <w:ind w:right="0" w:left="0" w:firstLine="0"/>
        <w:jc w:val="both"/>
        <w:rPr>
          <w:rFonts w:ascii="Times New Roman" w:hAnsi="Times New Roman" w:cs="Times New Roman" w:eastAsia="Times New Roman"/>
          <w:color w:val="auto"/>
          <w:spacing w:val="0"/>
          <w:position w:val="0"/>
          <w:sz w:val="26"/>
          <w:shd w:fill="FFFFFF" w:val="clear"/>
        </w:rPr>
      </w:pPr>
    </w:p>
    <w:p>
      <w:pPr>
        <w:keepNext w:val="true"/>
        <w:numPr>
          <w:ilvl w:val="0"/>
          <w:numId w:val="4932"/>
        </w:numPr>
        <w:tabs>
          <w:tab w:val="left" w:pos="718" w:leader="none"/>
        </w:tabs>
        <w:spacing w:before="0" w:after="0" w:line="240"/>
        <w:ind w:right="0" w:left="718" w:hanging="576"/>
        <w:jc w:val="both"/>
        <w:rPr>
          <w:rFonts w:ascii="Times New Roman" w:hAnsi="Times New Roman" w:cs="Times New Roman" w:eastAsia="Times New Roman"/>
          <w:b/>
          <w:color w:val="003366"/>
          <w:spacing w:val="0"/>
          <w:position w:val="0"/>
          <w:sz w:val="28"/>
          <w:shd w:fill="auto" w:val="clear"/>
        </w:rPr>
      </w:pPr>
      <w:r>
        <w:rPr>
          <w:rFonts w:ascii="Times New Roman" w:hAnsi="Times New Roman" w:cs="Times New Roman" w:eastAsia="Times New Roman"/>
          <w:b/>
          <w:color w:val="003366"/>
          <w:spacing w:val="0"/>
          <w:position w:val="0"/>
          <w:sz w:val="28"/>
          <w:shd w:fill="auto" w:val="clear"/>
        </w:rPr>
        <w:t xml:space="preserve">АНАЛИЗ НА ПОТРЕБНОСТИТЕ В ОБЛАСТ ДОБРИЧ (обобщено)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обобщени за област Добрич по общини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общините от област Добрич информацията за населението критериите съгласно Наредбата за планиране на социалните услуги е получена от НСИ, информационна система ГРАО на общините, Агенция за хората с увреждания, РЗИ, от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от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 кметове и кметски наместници, училища, лечебни заведения, социални услуги и др.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област Добрич, към 31.12.2021 г. е 175 906 жители, от тях 30 858 деца до 18-годишна възраст (17,54%). Общия брой на лицата с трайни увреждания е 18 889, от тях деца 417 (2,21%).</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Чупрене, към 31.12.2021 г. е 1801 жители, от тях </w:t>
      </w:r>
      <w:r>
        <w:rPr>
          <w:rFonts w:ascii="Times New Roman" w:hAnsi="Times New Roman" w:cs="Times New Roman" w:eastAsia="Times New Roman"/>
          <w:color w:val="auto"/>
          <w:spacing w:val="0"/>
          <w:position w:val="0"/>
          <w:sz w:val="24"/>
          <w:shd w:fill="FFFF00" w:val="clear"/>
        </w:rPr>
        <w:t xml:space="preserve">258</w:t>
      </w:r>
      <w:r>
        <w:rPr>
          <w:rFonts w:ascii="Times New Roman" w:hAnsi="Times New Roman" w:cs="Times New Roman" w:eastAsia="Times New Roman"/>
          <w:color w:val="auto"/>
          <w:spacing w:val="0"/>
          <w:position w:val="0"/>
          <w:sz w:val="24"/>
          <w:shd w:fill="auto" w:val="clear"/>
        </w:rPr>
        <w:t xml:space="preserve"> деца до 18-годишна възраст (14,3%), броят на пълнолетните лица е </w:t>
      </w:r>
      <w:r>
        <w:rPr>
          <w:rFonts w:ascii="Times New Roman" w:hAnsi="Times New Roman" w:cs="Times New Roman" w:eastAsia="Times New Roman"/>
          <w:color w:val="auto"/>
          <w:spacing w:val="0"/>
          <w:position w:val="0"/>
          <w:sz w:val="24"/>
          <w:shd w:fill="FFFF00" w:val="clear"/>
        </w:rPr>
        <w:t xml:space="preserve">972</w:t>
      </w:r>
      <w:r>
        <w:rPr>
          <w:rFonts w:ascii="Times New Roman" w:hAnsi="Times New Roman" w:cs="Times New Roman" w:eastAsia="Times New Roman"/>
          <w:color w:val="auto"/>
          <w:spacing w:val="0"/>
          <w:position w:val="0"/>
          <w:sz w:val="24"/>
          <w:shd w:fill="auto" w:val="clear"/>
        </w:rPr>
        <w:t xml:space="preserve"> (54,0%). Общия брой на лицата с трайни увреждания е 246, от тях деца 14 (5,7%).</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Чупрене, към 31.12.2021 г. е 1801 жители, от тях </w:t>
      </w:r>
      <w:r>
        <w:rPr>
          <w:rFonts w:ascii="Times New Roman" w:hAnsi="Times New Roman" w:cs="Times New Roman" w:eastAsia="Times New Roman"/>
          <w:color w:val="auto"/>
          <w:spacing w:val="0"/>
          <w:position w:val="0"/>
          <w:sz w:val="24"/>
          <w:shd w:fill="FFFF00" w:val="clear"/>
        </w:rPr>
        <w:t xml:space="preserve">258</w:t>
      </w:r>
      <w:r>
        <w:rPr>
          <w:rFonts w:ascii="Times New Roman" w:hAnsi="Times New Roman" w:cs="Times New Roman" w:eastAsia="Times New Roman"/>
          <w:color w:val="auto"/>
          <w:spacing w:val="0"/>
          <w:position w:val="0"/>
          <w:sz w:val="24"/>
          <w:shd w:fill="auto" w:val="clear"/>
        </w:rPr>
        <w:t xml:space="preserve"> деца до 18-годишна възраст (14,3%), броят на пълнолетните лица е </w:t>
      </w:r>
      <w:r>
        <w:rPr>
          <w:rFonts w:ascii="Times New Roman" w:hAnsi="Times New Roman" w:cs="Times New Roman" w:eastAsia="Times New Roman"/>
          <w:color w:val="auto"/>
          <w:spacing w:val="0"/>
          <w:position w:val="0"/>
          <w:sz w:val="24"/>
          <w:shd w:fill="FFFF00" w:val="clear"/>
        </w:rPr>
        <w:t xml:space="preserve">972</w:t>
      </w:r>
      <w:r>
        <w:rPr>
          <w:rFonts w:ascii="Times New Roman" w:hAnsi="Times New Roman" w:cs="Times New Roman" w:eastAsia="Times New Roman"/>
          <w:color w:val="auto"/>
          <w:spacing w:val="0"/>
          <w:position w:val="0"/>
          <w:sz w:val="24"/>
          <w:shd w:fill="auto" w:val="clear"/>
        </w:rPr>
        <w:t xml:space="preserve"> (54,0%). Общия брой на лицата с трайни увреждания е 246, от тях деца 14 (5,7%).</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Съществуващите социални и интегрирани здравно-социални услуги и брой на техните потребители (общ и по видове услуги и групи потребители) за цялата област по общини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областта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брои на социалните услуги на територията на област Добрич е 40 с 1402 потребители. Броят на социалните услуги за пълнолетни лица е 24 със 1029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за деца са 14 със 283 потребители.</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графиките е видно, че на територията на областта услугите за резидентна грижа (ЦНСТ, ПЖ) са 10 за 159 потребители, услугите в домашна среда (АП)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8 </w:t>
      </w:r>
      <w:r>
        <w:rPr>
          <w:rFonts w:ascii="Times New Roman" w:hAnsi="Times New Roman" w:cs="Times New Roman" w:eastAsia="Times New Roman"/>
          <w:color w:val="auto"/>
          <w:spacing w:val="0"/>
          <w:position w:val="0"/>
          <w:sz w:val="24"/>
          <w:shd w:fill="auto" w:val="clear"/>
        </w:rPr>
        <w:t xml:space="preserve">услуги за 467 потребители, услугите в специализирани институции за пълнолетни лица (ДСХ) 3 услуги за 165 потребители и консултативни услуги (ЦОП, ЦСРИ)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9 </w:t>
      </w:r>
      <w:r>
        <w:rPr>
          <w:rFonts w:ascii="Times New Roman" w:hAnsi="Times New Roman" w:cs="Times New Roman" w:eastAsia="Times New Roman"/>
          <w:color w:val="auto"/>
          <w:spacing w:val="0"/>
          <w:position w:val="0"/>
          <w:sz w:val="24"/>
          <w:shd w:fill="auto" w:val="clear"/>
        </w:rPr>
        <w:t xml:space="preserve">услуги за 255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област Добрич</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ДЦПЛУ</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ЗЖЛУИ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144</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Асистентска подкрепа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170</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Общо 345 лица са включени в списъците на чакащите за ползване на социални услуги в териториалния обхват на област Добрич. Голям е и броят на лицата за включване в Асистентска подкрепа -170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област Добрич, различна от общината по настоящ адрес</w:t>
      </w: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312"/>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и интегрирани здравно-социални услуги на територията на област Добрич, различна от общината по настоящ адрес е 321. Най-голям е техният брой в социалните услуги на територията на общините Добрич град и Каварна. В общините Генерал Тошево и Добричка няма потребители от други общини.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Впечатление прави, че потребителите на услугите в по-голямата част са от общините на територията на областта.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графиката е представено сравнение между функциониращите към момента социални услуги, финансирани от държавния бюджет, съотнесени към социалните услуги по чл. 15 от ЗСУ, максималния брой потребители, съгласно критериите по Наредбата за планиране на социалните услуги и поетите ангажименти от общините в областта.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709"/>
        <w:jc w:val="both"/>
        <w:rPr>
          <w:rFonts w:ascii="Times New Roman" w:hAnsi="Times New Roman" w:cs="Times New Roman" w:eastAsia="Times New Roman"/>
          <w:i/>
          <w:color w:val="auto"/>
          <w:spacing w:val="0"/>
          <w:position w:val="0"/>
          <w:sz w:val="24"/>
          <w:shd w:fill="auto" w:val="clear"/>
        </w:rPr>
      </w:pPr>
    </w:p>
    <w:p>
      <w:pPr>
        <w:spacing w:before="0" w:after="0" w:line="312"/>
        <w:ind w:right="0" w:left="0" w:firstLine="709"/>
        <w:jc w:val="both"/>
        <w:rPr>
          <w:rFonts w:ascii="Times New Roman" w:hAnsi="Times New Roman" w:cs="Times New Roman" w:eastAsia="Times New Roman"/>
          <w:i/>
          <w:color w:val="auto"/>
          <w:spacing w:val="0"/>
          <w:position w:val="0"/>
          <w:sz w:val="24"/>
          <w:shd w:fill="auto" w:val="clear"/>
        </w:rPr>
      </w:pPr>
    </w:p>
    <w:p>
      <w:pPr>
        <w:spacing w:before="0" w:after="0" w:line="312"/>
        <w:ind w:right="0" w:left="0" w:firstLine="709"/>
        <w:jc w:val="both"/>
        <w:rPr>
          <w:rFonts w:ascii="Times New Roman" w:hAnsi="Times New Roman" w:cs="Times New Roman" w:eastAsia="Times New Roman"/>
          <w:i/>
          <w:color w:val="auto"/>
          <w:spacing w:val="0"/>
          <w:position w:val="0"/>
          <w:sz w:val="24"/>
          <w:shd w:fill="auto" w:val="clear"/>
        </w:rPr>
      </w:pPr>
    </w:p>
    <w:p>
      <w:pPr>
        <w:spacing w:before="0" w:after="0" w:line="312"/>
        <w:ind w:right="0" w:left="0" w:firstLine="709"/>
        <w:jc w:val="both"/>
        <w:rPr>
          <w:rFonts w:ascii="Times New Roman" w:hAnsi="Times New Roman" w:cs="Times New Roman" w:eastAsia="Times New Roman"/>
          <w:i/>
          <w:color w:val="auto"/>
          <w:spacing w:val="0"/>
          <w:position w:val="0"/>
          <w:sz w:val="24"/>
          <w:shd w:fill="auto" w:val="clear"/>
        </w:rPr>
      </w:pPr>
    </w:p>
    <w:p>
      <w:pPr>
        <w:spacing w:before="0" w:after="0" w:line="312"/>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312"/>
        <w:ind w:right="0" w:left="0" w:firstLine="709"/>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област Добрич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Анализа на данните на демографското развитие в област Добрич за периода 2021 г.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2017 </w:t>
      </w:r>
      <w:r>
        <w:rPr>
          <w:rFonts w:ascii="Times New Roman" w:hAnsi="Times New Roman" w:cs="Times New Roman" w:eastAsia="Times New Roman"/>
          <w:color w:val="auto"/>
          <w:spacing w:val="0"/>
          <w:position w:val="0"/>
          <w:sz w:val="24"/>
          <w:shd w:fill="auto" w:val="clear"/>
        </w:rPr>
        <w:t xml:space="preserve">г. показва тенденция към намаление на броя на населението във всички общини.</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Във всички общини се отчита ниска раждаемост с тенденция към намаление, висока смъртност и отрицателен естествен прираст. Прогресивно намаляване на относителния дял на лицата в трудоспособна възраст. Устойчива тенденция към емиграция и обезлюдяване. Висок е броя на хората с увреждания, както и на самотно живеещите стари хора от селата в общината, с невъзможност за самообслужване.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Всички тези фактори, показват че на територията на общината населението застарява и има необходимост от социални услуги за резидентна грижа и услуги в домашна среда.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По-голяма част от социалните услуги в областта са обезпечени със служители, необходими за предоставянето им. Общините са използвали различни възможности за наемане на необходимите служители за извършване на дейностите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специалисти се търсят както в Дирекции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Бюра по труда“, така и на свободния пазар, като на работа се наемат и пенсионери. На база на предоставената от общините информация за заетостта на служителите в социалните услуги, се очертава тенденция за недостиг основно на медицински специалисти.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Една от предпоставките за ефективност на социалните услуги е наличието на квалифициран и мотивиран персонал. Развитието и обучението на човешките ресурси в тази област е важна предпоставка за качествени услуги, които да съдействат за повишаване и качеството на живот на отделните индивиди, семейства и групи.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Добрич</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са ключов фактор за ефективно социално включване и участие в живота на обществото на всички групи лица, които имат необходимост от подкрепа. Във основа на направения анализ на състоянието на социалните услуги на територията на областта и очерталите се тенденции, могат да се направят следните изводи: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наличните места за резидентна грижа за деца без увреждания са повече от идентифицираните потребности. Планира се промяна на броя на потребителите от 15 на 12 места на всяка една резидентна услуга от този вид. По отношение на резидентната грижа за деца с увреждания потребностите не са задоволени и се предвижда създаване на нови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 Добрич има социални услуги за резидентна грижа за пълнолетни лица, но броят им е недостатъчен за задоволяване на потребностите на жителите на областта. Необходимо е да бъдат създадени нови социални услуги за резидентна грижа за лица с психични разстройства, умствена изостаналост, физически увреждания, деменция и лица в надтрудоспособна възраст без увреждания.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не функционират подслон за лица в кризисна ситуация, както и подслони за деца и лица, пострадали от домашно насилие и лица, жертви на трафик. Към настоящия момент никоя от общините в областта не планира разкриване на този вид услуги. Единствено община Добричка планира създаване на подслон за бездомни лица с капацитет 10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Недостатъчен е броят на услугите за дневна и почасова грижа и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 територията на областта няма социални услуги за резидентна грижа за лица със сетивни нарушения, както и интегрирани здравно-социални услуги за деца и пълнолетни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Осигуряването на равен достъп до услуги на всички нуждаещи се чрез планиране на социални услуги, съгласно реалните потребности и нужди и равномерно разпределение на социалните услуги на територията на област Добрич са съществена част от политиките на областната и общинските администрации.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4959"/>
        </w:numPr>
        <w:tabs>
          <w:tab w:val="left" w:pos="718" w:leader="none"/>
        </w:tabs>
        <w:spacing w:before="0" w:after="0" w:line="240"/>
        <w:ind w:right="0" w:left="0" w:firstLine="0"/>
        <w:jc w:val="both"/>
        <w:rPr>
          <w:rFonts w:ascii="Times New Roman" w:hAnsi="Times New Roman" w:cs="Times New Roman" w:eastAsia="Times New Roman"/>
          <w:b/>
          <w:color w:val="003366"/>
          <w:spacing w:val="0"/>
          <w:position w:val="0"/>
          <w:sz w:val="28"/>
          <w:shd w:fill="auto" w:val="clear"/>
        </w:rPr>
      </w:pPr>
      <w:r>
        <w:rPr>
          <w:rFonts w:ascii="Times New Roman" w:hAnsi="Times New Roman" w:cs="Times New Roman" w:eastAsia="Times New Roman"/>
          <w:b/>
          <w:color w:val="003366"/>
          <w:spacing w:val="0"/>
          <w:position w:val="0"/>
          <w:sz w:val="28"/>
          <w:shd w:fill="auto" w:val="clear"/>
        </w:rPr>
        <w:t xml:space="preserve">ОБЛАСТ ШУМЕН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4961"/>
        </w:numPr>
        <w:tabs>
          <w:tab w:val="left" w:pos="862" w:leader="none"/>
          <w:tab w:val="left" w:pos="1430" w:leader="none"/>
        </w:tabs>
        <w:spacing w:before="0" w:after="0" w:line="240"/>
        <w:ind w:right="0" w:left="0" w:firstLine="0"/>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ВЕЛИКИ ПРЕСЛАВ</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Велики Преслав информацията за населението по настоящ адрес е получена от НСИ, РЗИ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Шумен, Общинска администрация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ГРАО,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Велики Преслав,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Велики Преслав, Статистически документи на община Велики Преслав.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Велики Преслав, към 31.12.2021 г. е 11816 жители, от тях 2447 деца до 18-годишна възраст. Общият брой на лицата с трайни увреждания е 1482, от тях деца 38.</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Велики Преслав са разкрити 4 социални услуги, които са делегирани от държавата дейности с общ брой потребители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90, </w:t>
      </w:r>
      <w:r>
        <w:rPr>
          <w:rFonts w:ascii="Times New Roman" w:hAnsi="Times New Roman" w:cs="Times New Roman" w:eastAsia="Times New Roman"/>
          <w:color w:val="auto"/>
          <w:spacing w:val="0"/>
          <w:position w:val="0"/>
          <w:sz w:val="24"/>
          <w:shd w:fill="auto" w:val="clear"/>
        </w:rPr>
        <w:t xml:space="preserve">в т.ч. 49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365"/>
        <w:gridCol w:w="2120"/>
        <w:gridCol w:w="1888"/>
        <w:gridCol w:w="1219"/>
        <w:gridCol w:w="1468"/>
      </w:tblGrid>
      <w:tr>
        <w:trPr>
          <w:trHeight w:val="1" w:hRule="atLeast"/>
          <w:jc w:val="left"/>
        </w:trPr>
        <w:tc>
          <w:tcPr>
            <w:tcW w:w="236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12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188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ЦСРИЛ</w:t>
            </w:r>
          </w:p>
        </w:tc>
        <w:tc>
          <w:tcPr>
            <w:tcW w:w="121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НЖЛ</w:t>
            </w:r>
          </w:p>
        </w:tc>
        <w:tc>
          <w:tcPr>
            <w:tcW w:w="146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236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1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8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1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6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36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1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18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21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146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49</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Велики Преслав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Велики Преслав е 3.</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tbl>
      <w:tblPr/>
      <w:tblGrid>
        <w:gridCol w:w="4037"/>
        <w:gridCol w:w="5023"/>
      </w:tblGrid>
      <w:tr>
        <w:trPr>
          <w:trHeight w:val="1" w:hRule="atLeast"/>
          <w:jc w:val="left"/>
        </w:trPr>
        <w:tc>
          <w:tcPr>
            <w:tcW w:w="403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02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Велики Преслав,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Велики Преслав, от други общини е 1.</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831"/>
        <w:gridCol w:w="5229"/>
      </w:tblGrid>
      <w:tr>
        <w:trPr>
          <w:trHeight w:val="1" w:hRule="atLeast"/>
          <w:jc w:val="left"/>
        </w:trPr>
        <w:tc>
          <w:tcPr>
            <w:tcW w:w="383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522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3831" w:type="dxa"/>
            <w:tcBorders>
              <w:top w:val="single" w:color="000000" w:sz="4"/>
              <w:left w:val="single" w:color="000000" w:sz="8"/>
              <w:bottom w:val="single" w:color="000000" w:sz="8"/>
              <w:right w:val="single" w:color="000000" w:sz="8"/>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5229" w:type="dxa"/>
            <w:tcBorders>
              <w:top w:val="single" w:color="000000" w:sz="4"/>
              <w:left w:val="single" w:color="000000" w:sz="0"/>
              <w:bottom w:val="single" w:color="000000" w:sz="8"/>
              <w:right w:val="single" w:color="000000" w:sz="8"/>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Велики Преслав за последните 5 години</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Динамиката показва трайна тенденция на намаляване на населението на община Велики Преслав. Естественият и механичният прираст са отрицателни. В общината се наблюдава задълбочаваща се демографска криза. Илюстрация на този процес е намаляването на абсолютния брой и относителния дял на населението под 15 години и увеличаване дела на населението над 60 и повече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съпоставка на данните за броя на назначени служители и броя незаети длъжности към момента на извършването на анализа по утвърдените щатни разписания във всяка услуга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държавно делегирана дейност, както и въз основа на определените минимални изисквания в стандартите за качество на социалните услуги, касаещи броя и квалификацията на необходимите служители, прогнозният брой на служителите с оглед на оптимално функциониране на социалните и интегрираните здравно-социални услуги е 21.</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4992"/>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ВЕНЕЦ</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Венец информацията за населението по настоящ адрес е получена от Съществуващи стратегически документи, анализи и проучвания, обхващащи територията на общината, НСИ, НОИ, ОД на МВР, ДБТ, ДСП.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Венец, към 31.12.2021 г. е 8453 жители, от тях 1259</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деца до 18-годишна възраст. Общият брой на лицата с трайни увреждания е 944, от тях деца 12.</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Венец са разкрити 2 социални услуги с общ брой потребители - 50 , в т.ч. 50 на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996"/>
        <w:gridCol w:w="2966"/>
        <w:gridCol w:w="2098"/>
      </w:tblGrid>
      <w:tr>
        <w:trPr>
          <w:trHeight w:val="1" w:hRule="atLeast"/>
          <w:jc w:val="left"/>
        </w:trPr>
        <w:tc>
          <w:tcPr>
            <w:tcW w:w="399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96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209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39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96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0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9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96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c>
          <w:tcPr>
            <w:tcW w:w="20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Венец</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Венец са 10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Венец,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Венец, от други общини е 31.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831"/>
        <w:gridCol w:w="5229"/>
      </w:tblGrid>
      <w:tr>
        <w:trPr>
          <w:trHeight w:val="1" w:hRule="atLeast"/>
          <w:jc w:val="left"/>
        </w:trPr>
        <w:tc>
          <w:tcPr>
            <w:tcW w:w="383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522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31</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Венец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Параметрите на възпроизводството на населението се определят от развитието на основните демографски процеси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естествен прираст (раждаемост и смъртност) и механичен прираст (изселени и заселени). Броят на населението, като величина, е резултат от неговия естествен и механичен прираст. Естественият прираст в община Венец е отрицателен, той показва разликата между живородените и умрелите за даден период от време. Възрастовата структура на населението е от регресивен тип. Нараства броят и делът на възрастното население и намалява тези на младите генерации. Отчитат се неблагоприятни характеристики на демографското процеси. Наблюдават се тенденции за намаляване на числеността на населението в следствие на намалената раждаемост, увеличената смъртност и миграционните процеси.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анализа е видно, че незаетите длъжности в социалните услуги делегирани от държавата дейности, функциониращи на територията на община Венец е 1 в ЦОП.</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5019"/>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ВЪРБИЦА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Върбица информацията за населението по настоящ адрес е получена от НСИ, отдел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Статистически изследвания“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Шумен, НОИ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Шумен,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Велики Преслав, РЗИ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Шумен, ОДМВР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Шумен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РУ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Велики Преслав, ГРАО, Общинска администрация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Върбица, Статистически бази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данни в интернет.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Върбица, към 31.12.2021 г. е 10237 жители, от тях 1981 деца до 18-годишна възраст. Общият брой на лицата с трайни увреждания е 870 от тях деца 23.</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Върбица е разкрита 1 социална услуга Асистентска подкрепа с брой потребители - 28.</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6648"/>
        <w:gridCol w:w="2412"/>
      </w:tblGrid>
      <w:tr>
        <w:trPr>
          <w:trHeight w:val="1" w:hRule="atLeast"/>
          <w:jc w:val="left"/>
        </w:trPr>
        <w:tc>
          <w:tcPr>
            <w:tcW w:w="664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41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66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4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66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4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28</w:t>
            </w:r>
          </w:p>
        </w:tc>
      </w:tr>
    </w:tbl>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Върбица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желаещи да ползват социални услуги в община Върбица, където се предоставя само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Върбица,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лица от други общини, които да ползват социални услуги, предоставяни на територията на община Върбица.</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Върбица за последните 5 години</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Демографските процеси в община Върбица следват тенденциите за област Шумен и за страната и се характеризират с трайна тенденция за намаляване на броя на населението и на неговото застаряване. Основни причини за това са ниската раждаемост, нарастването на смъртността и емиграцията на значителна част от младите хора. Данните показват, че в община Върбица живеят много деца, лица и семейства в риск и с нарастващи потребности от разнообразни и качествени социални услуги. Когато възрастовата структура е деформирана и населението застарява не може да се осигури както естественото му възпроизводство, така и възпроизводството на трудовия потенциал, което подлага на натиск икономиката, здравните и социалните системи в общината и повишава публичните разходи.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момента на анализа в социалната услуга Асистентска подкрепа няма незаети длъжности при щатно разписание 25 социални асистенти.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5037"/>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КАОЛИНОВО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за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Каолиново информацията за населението по настоящ адрес е получена от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Каолиново, НБД, ЛБД, ГРАО, ТСБ, НОИ, ДБТ, РУ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Каолиново, кметства в територията на общината, експерт по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Образование, здравеопазване и култура“, Съвет по въпросите на социалните услуги в община Каолиново и др.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Каолиново, към 31.12.2021 г. е 13941 жители, от тях 2357 деца до 18-годишна възраст. Общият брой на лицата с трайни увреждания е 1247, от тях деца 36.</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Каолиново е разкрита 1 социална услуга Асистентска подкрепа с брой потребители - 32.</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6648"/>
        <w:gridCol w:w="2412"/>
      </w:tblGrid>
      <w:tr>
        <w:trPr>
          <w:trHeight w:val="1" w:hRule="atLeast"/>
          <w:jc w:val="left"/>
        </w:trPr>
        <w:tc>
          <w:tcPr>
            <w:tcW w:w="664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41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66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4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66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4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32 </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Каолиново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такива лица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Каолиново,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Всички потребители на социалната услуга Асистентска подкрепа са жители на община Каолиново.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Каолиново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Естественият прираст през последните пет години е отрицателен, което е показателно за неблагоприятната тенденция за намаляване на населението и неговото застаряване.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Районът на община Каолиново не се различава много от процесите на миграция, протичащи в региона. Целият регион се отличава с интензивна миграция, насочена предимно към големите икономически центрове на страната и чужбина. Трайна е тенденцията на напускане на общината от хора в работоспособна възраст, които търсят препитание в чужбина и по-големите градове на страната.</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предоставени такива данни в анализа. От приложение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4 </w:t>
      </w:r>
      <w:r>
        <w:rPr>
          <w:rFonts w:ascii="Times New Roman" w:hAnsi="Times New Roman" w:cs="Times New Roman" w:eastAsia="Times New Roman"/>
          <w:color w:val="auto"/>
          <w:spacing w:val="0"/>
          <w:position w:val="0"/>
          <w:sz w:val="24"/>
          <w:shd w:fill="auto" w:val="clear"/>
        </w:rPr>
        <w:t xml:space="preserve">е видно, че определените по щатно разписание служители в социалната услуга асистентска подкрепа са заети.</w:t>
      </w:r>
    </w:p>
    <w:p>
      <w:pPr>
        <w:spacing w:before="0" w:after="0" w:line="268"/>
        <w:ind w:right="48" w:left="-15"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5053"/>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КАСПИЧАН</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Каспичан информацията за населението по настоящ адрес е получена от НСИ, МОН, РЗИ,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Нови пазар,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Нови пазар.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Каспичан, към 31.12.2021 г. е 7320 жители, от тях 1535 деца до 18-годишна възраст. Общият брой на лицата с трайни увреждания е 772, от тях деца 23.</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68"/>
        <w:ind w:right="48" w:left="0" w:firstLine="0"/>
        <w:jc w:val="both"/>
        <w:rPr>
          <w:rFonts w:ascii="Times New Roman" w:hAnsi="Times New Roman" w:cs="Times New Roman" w:eastAsia="Times New Roman"/>
          <w:color w:val="000000"/>
          <w:spacing w:val="0"/>
          <w:position w:val="0"/>
          <w:sz w:val="24"/>
          <w:shd w:fill="auto" w:val="clear"/>
        </w:rPr>
      </w:pPr>
    </w:p>
    <w:p>
      <w:pPr>
        <w:spacing w:before="0" w:after="0" w:line="268"/>
        <w:ind w:right="48" w:left="0" w:firstLine="0"/>
        <w:jc w:val="both"/>
        <w:rPr>
          <w:rFonts w:ascii="Times New Roman" w:hAnsi="Times New Roman" w:cs="Times New Roman" w:eastAsia="Times New Roman"/>
          <w:color w:val="000000"/>
          <w:spacing w:val="0"/>
          <w:position w:val="0"/>
          <w:sz w:val="24"/>
          <w:shd w:fill="auto" w:val="clear"/>
        </w:rPr>
      </w:pPr>
    </w:p>
    <w:p>
      <w:pPr>
        <w:spacing w:before="0" w:after="0" w:line="268"/>
        <w:ind w:right="48" w:left="0" w:firstLine="0"/>
        <w:jc w:val="both"/>
        <w:rPr>
          <w:rFonts w:ascii="Times New Roman" w:hAnsi="Times New Roman" w:cs="Times New Roman" w:eastAsia="Times New Roman"/>
          <w:color w:val="000000"/>
          <w:spacing w:val="0"/>
          <w:position w:val="0"/>
          <w:sz w:val="24"/>
          <w:shd w:fill="auto" w:val="clear"/>
        </w:rPr>
      </w:pPr>
    </w:p>
    <w:p>
      <w:pPr>
        <w:spacing w:before="0" w:after="0" w:line="268"/>
        <w:ind w:right="48" w:left="0" w:firstLine="0"/>
        <w:jc w:val="both"/>
        <w:rPr>
          <w:rFonts w:ascii="Times New Roman" w:hAnsi="Times New Roman" w:cs="Times New Roman" w:eastAsia="Times New Roman"/>
          <w:color w:val="000000"/>
          <w:spacing w:val="0"/>
          <w:position w:val="0"/>
          <w:sz w:val="24"/>
          <w:shd w:fill="auto" w:val="clear"/>
        </w:rPr>
      </w:pPr>
    </w:p>
    <w:p>
      <w:pPr>
        <w:spacing w:before="0" w:after="0" w:line="268"/>
        <w:ind w:right="48" w:left="0" w:firstLine="0"/>
        <w:jc w:val="both"/>
        <w:rPr>
          <w:rFonts w:ascii="Times New Roman" w:hAnsi="Times New Roman" w:cs="Times New Roman" w:eastAsia="Times New Roman"/>
          <w:color w:val="000000"/>
          <w:spacing w:val="0"/>
          <w:position w:val="0"/>
          <w:sz w:val="24"/>
          <w:shd w:fill="auto" w:val="clear"/>
        </w:rPr>
      </w:pPr>
    </w:p>
    <w:p>
      <w:pPr>
        <w:spacing w:before="0" w:after="0" w:line="268"/>
        <w:ind w:right="48" w:left="0" w:firstLine="0"/>
        <w:jc w:val="both"/>
        <w:rPr>
          <w:rFonts w:ascii="Times New Roman" w:hAnsi="Times New Roman" w:cs="Times New Roman" w:eastAsia="Times New Roman"/>
          <w:color w:val="000000"/>
          <w:spacing w:val="0"/>
          <w:position w:val="0"/>
          <w:sz w:val="24"/>
          <w:shd w:fill="auto" w:val="clear"/>
        </w:rPr>
      </w:pPr>
    </w:p>
    <w:p>
      <w:pPr>
        <w:spacing w:before="0" w:after="0" w:line="268"/>
        <w:ind w:right="48"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Каспичан са разкрити 4 социални услуги, от които 3 се предоставят в гр. Каспичан и 1 в с. Кюлевча. Общият капацитет на социалните услуги е за 99 потребители, в т.ч. 24 асистентска подкрепа.</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tbl>
      <w:tblPr/>
      <w:tblGrid>
        <w:gridCol w:w="2486"/>
        <w:gridCol w:w="1738"/>
        <w:gridCol w:w="2229"/>
        <w:gridCol w:w="1705"/>
        <w:gridCol w:w="902"/>
      </w:tblGrid>
      <w:tr>
        <w:trPr>
          <w:trHeight w:val="1" w:hRule="atLeast"/>
          <w:jc w:val="left"/>
        </w:trPr>
        <w:tc>
          <w:tcPr>
            <w:tcW w:w="248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73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222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170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ЦСРИЛ</w:t>
            </w:r>
          </w:p>
        </w:tc>
        <w:tc>
          <w:tcPr>
            <w:tcW w:w="90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248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73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48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73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2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17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9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Каспичан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Към момента на изготвяне на анализа няма желаещи да ползват функциониращите социални услуги на територията на общината</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Каспичан,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Каспичан, от други общини е 31.</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831"/>
        <w:gridCol w:w="5229"/>
      </w:tblGrid>
      <w:tr>
        <w:trPr>
          <w:trHeight w:val="1" w:hRule="atLeast"/>
          <w:jc w:val="left"/>
        </w:trPr>
        <w:tc>
          <w:tcPr>
            <w:tcW w:w="383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522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Каспичан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Състоянието на демографските процеси е свързано с влиянието на множество фактори от икономическо, социално, здравно естество, засилени миграционни процеси. През последните години са отчетени неблагоприятни характеристики на демографските процеси - наблюдават се тенденции за намаляване числеността на населението. Този процес може да бъде обяснен с намалената раждаемост, увеличена смъртност и миграционните процеси. Всички изброени дотук фактори са причина за спада в естествения прираст на населението и за задълбочаващата се демографска криза в рамките на общината. Миграцията също е един от процесите, който обуславя намаляването числеността на населението. В гр. Каспичан темпът на намаляване на населението е по- голям в сравнение със селата. Този факт може да бъде обяснен с механичното движение на населението, включващо изселването и заселването, свързани с промяна на местоживеенето. Причините за това са динамиката на икономическите процеси, протичащи в България.</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момента, всички длъжности по щатното разписание са заети. С цел оптимизиране дейността на резидентната грижа предложението на ръководителя на услугата е щатното разписание да се актуализира.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5080"/>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НИКОЛА КОЗЛЕВО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Никола Козлево информацията за населението по настоящ адрес е получена от НСИ, ГРАО, ДСП, РДСП, ДБТ, местни комисии за борба срещу противообществените прояви на малолетни и непълнолетни, документално проучване на съществуващи анализи, доклади, стратегически документи на областната и местната администрация, Систематизиране и обобщаване на статистически данни, събирани от общинската администрация; Събиране на допълнителна статистическа информация за разпределението на ключови рискови групи по населени места чрез включване на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ресурсни хора” по места (като кметове и кметски наместници на прилежащите към общината села и махали)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Павликени,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Павликени, РЗИ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 Търново, социални услуги, функциониращи на територията на общината, кметове и кметски наместници.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Никола Козлево, към 31.12.2021 г. е 7266 жители, от тях 1490 деца до 18-годишна възраст. Общият брой на лицата с трайни увреждания е 559, от тях деца 29.</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Никола Козлево е разкрита 1 социална услуга, финансирана от държавния бюджет - асистентска подкрепа с брой потребители 18.</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6561"/>
        <w:gridCol w:w="2499"/>
      </w:tblGrid>
      <w:tr>
        <w:trPr>
          <w:trHeight w:val="1" w:hRule="atLeast"/>
          <w:jc w:val="left"/>
        </w:trPr>
        <w:tc>
          <w:tcPr>
            <w:tcW w:w="656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49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656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4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656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4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Никола Козлево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такива лица.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Никола Козлево, различна от  общината по настоящ адрес</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такива лица.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Никола Козлево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Демографската ситуация в община Никола Козлево е резултат от действието на фактори и влияния, които от една страна са характерни за Република България, а от друга специфични за територията на общината, обусловени от географското положение, историко-културно, социално-икономическо и демографско развитие. Особеностите на географското положение на територията спрямо важни пътни артерии и големи градове в страната оказват пряко въздействие върху характера на демографските тенденции. Това оказва влияние най-вече върху състоянието на различните видове структури на населението и върху неговите миграционни нагласи и поведение. Съществено влияние оказват раждаемостта и смъртността, миграцията, населението. Те влияят на формирането на човешките ресурси в общината, както в количествено, така и в качествено отношение, полово-възрастовата, етническа, религиозна и образователна структури. Текущата демографска ситуация в общината се характеризира с продължаващо застаряване на населението и задържащо се високо равнище на общата смъртност. </w:t>
      </w:r>
    </w:p>
    <w:p>
      <w:pPr>
        <w:spacing w:before="0" w:after="0" w:line="276"/>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76"/>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предоставена информация за незаети длъжности.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5097"/>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НОВИ ПАЗАР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са използвани официални източници на информация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данни на ГРАО, ДО, ДСП, РЗИ, РУО, РДСП, ДСП, НОИ, НСИ, стратегически документи на национално, областно и местно ниво, центрове за предоставяне на социални услуги, НПО.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Нови пазар, към 31.12.2021 г. е 14702 жители, от тях 2459 деца до 18-годишна възраст. Общият брой на лицата с трайни увреждания е 1961, от тях деца 45.</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76"/>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76"/>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76"/>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Нови пазар са разкрити 10 социални услуги, от които 9 се предоставят в гр. Нови пазар и 1 в с. Памукчии. Общият капацитет на социалните услуги е за 318 потребители, в т.ч. 53 асистентска подкрепа.</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tbl>
      <w:tblPr/>
      <w:tblGrid>
        <w:gridCol w:w="1814"/>
        <w:gridCol w:w="832"/>
        <w:gridCol w:w="888"/>
        <w:gridCol w:w="1297"/>
        <w:gridCol w:w="1268"/>
        <w:gridCol w:w="1515"/>
        <w:gridCol w:w="1446"/>
      </w:tblGrid>
      <w:tr>
        <w:trPr>
          <w:trHeight w:val="1" w:hRule="atLeast"/>
          <w:jc w:val="left"/>
        </w:trPr>
        <w:tc>
          <w:tcPr>
            <w:tcW w:w="18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83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88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129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126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151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ЦНСТМУ</w:t>
            </w:r>
          </w:p>
        </w:tc>
        <w:tc>
          <w:tcPr>
            <w:tcW w:w="14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ЦНСТДУ</w:t>
            </w:r>
          </w:p>
        </w:tc>
      </w:tr>
      <w:tr>
        <w:trPr>
          <w:trHeight w:val="1" w:hRule="atLeast"/>
          <w:jc w:val="left"/>
        </w:trPr>
        <w:tc>
          <w:tcPr>
            <w:tcW w:w="181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8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29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81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8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65</w:t>
            </w:r>
          </w:p>
        </w:tc>
        <w:tc>
          <w:tcPr>
            <w:tcW w:w="8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103</w:t>
            </w:r>
          </w:p>
        </w:tc>
        <w:tc>
          <w:tcPr>
            <w:tcW w:w="129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c>
          <w:tcPr>
            <w:tcW w:w="1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5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14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bl>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tbl>
      <w:tblPr/>
      <w:tblGrid>
        <w:gridCol w:w="2746"/>
        <w:gridCol w:w="2461"/>
        <w:gridCol w:w="2858"/>
        <w:gridCol w:w="995"/>
      </w:tblGrid>
      <w:tr>
        <w:trPr>
          <w:trHeight w:val="1" w:hRule="atLeast"/>
          <w:jc w:val="left"/>
        </w:trPr>
        <w:tc>
          <w:tcPr>
            <w:tcW w:w="27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46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285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99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274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4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8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74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4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28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9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53</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Нови пазар</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Нови пазар е 11 лица. 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ЦНСТМУ</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ДЦПЛУ</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ЦНСТПЛУИ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Нови пазар,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Нови пазар, от други общини е 141. </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tbl>
      <w:tblPr/>
      <w:tblGrid>
        <w:gridCol w:w="3831"/>
        <w:gridCol w:w="5229"/>
      </w:tblGrid>
      <w:tr>
        <w:trPr>
          <w:trHeight w:val="1" w:hRule="atLeast"/>
          <w:jc w:val="left"/>
        </w:trPr>
        <w:tc>
          <w:tcPr>
            <w:tcW w:w="383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522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33</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89</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ЦНСТПЛУИ</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ДЦДУ</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bl>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Нови пазар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Данните сочат за негативни тенденции по отношение динамиката на броя население и неговата възрастова структура. Това се дължи, както на отрицателните стойности на естествения прираст, така и на миграцията, най-често на хора в активна трудоспособна възраст, към други икономически по-силно развити региони или страни. Ясно очертана е и тенденцията на застаряване на населението в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Общо по щатно разписание служители в социалните услуги в община Нови пазар са 139 броя. Общо назначените са 136 броя, като 3 броя са свободни. След трансформиране на социалните услуги, съгласно Наредбата за качеството на социалните услуги, ще е необходимо да се увеличат щатните бройки в почти всички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5149"/>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СМЯДОВО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При изготвянето на анализа са използвани официални източници на информация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данни на НСИ, ДСП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Велики Преслав, ДБТ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Велики Преслав, община Смядово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ГРАО, социални услуги на територията на общината, План за интегрирано развитие на община Смядово, проведени изследвания от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Смядово, към 31.12.2021 г. е 5502 жители, от тях 815 деца до 18-годишна възраст, броят на пълнолетните лица е 4687. Общия брой на лицата с трайни увреждания е 852, от тях деца 17.</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Смядово са разкрити 13 социални услуги, от които 10 се предоставят в гр. Смядово, 1 в с. Янково и 2 в с. Веселиново. Общият капацитет на социалните услуги е 181 потребители, в т.ч. 21 на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901"/>
        <w:gridCol w:w="1294"/>
        <w:gridCol w:w="1161"/>
        <w:gridCol w:w="1198"/>
        <w:gridCol w:w="1754"/>
        <w:gridCol w:w="1752"/>
      </w:tblGrid>
      <w:tr>
        <w:trPr>
          <w:trHeight w:val="300" w:hRule="auto"/>
          <w:jc w:val="left"/>
        </w:trPr>
        <w:tc>
          <w:tcPr>
            <w:tcW w:w="190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29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116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ДЦСХ</w:t>
            </w:r>
          </w:p>
        </w:tc>
        <w:tc>
          <w:tcPr>
            <w:tcW w:w="119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ЗЖЛПР</w:t>
            </w:r>
          </w:p>
        </w:tc>
        <w:tc>
          <w:tcPr>
            <w:tcW w:w="175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175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r>
      <w:tr>
        <w:trPr>
          <w:trHeight w:val="1" w:hRule="atLeast"/>
          <w:jc w:val="left"/>
        </w:trPr>
        <w:tc>
          <w:tcPr>
            <w:tcW w:w="190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29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6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9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175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7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90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29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16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19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32</w:t>
            </w:r>
          </w:p>
        </w:tc>
        <w:tc>
          <w:tcPr>
            <w:tcW w:w="175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w:t>
            </w:r>
          </w:p>
        </w:tc>
        <w:tc>
          <w:tcPr>
            <w:tcW w:w="17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669"/>
        <w:gridCol w:w="1819"/>
        <w:gridCol w:w="2287"/>
        <w:gridCol w:w="2285"/>
      </w:tblGrid>
      <w:tr>
        <w:trPr>
          <w:trHeight w:val="277" w:hRule="auto"/>
          <w:jc w:val="left"/>
        </w:trPr>
        <w:tc>
          <w:tcPr>
            <w:tcW w:w="266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81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228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ЦНСТПЛД</w:t>
            </w:r>
          </w:p>
        </w:tc>
        <w:tc>
          <w:tcPr>
            <w:tcW w:w="228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266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81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2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22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66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81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22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22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21</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Смядово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Смядово е 390 пълнолетни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ЗЖЛПР</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154</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ЦНСТПЛУИ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142</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ЦНСТПЛПР</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72</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ЦНСТПЛД</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Смядово,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Смядово, от други общини е 45.</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831"/>
        <w:gridCol w:w="5229"/>
      </w:tblGrid>
      <w:tr>
        <w:trPr>
          <w:trHeight w:val="1" w:hRule="atLeast"/>
          <w:jc w:val="left"/>
        </w:trPr>
        <w:tc>
          <w:tcPr>
            <w:tcW w:w="383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22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ЗЖЛПР</w:t>
            </w:r>
          </w:p>
        </w:tc>
        <w:tc>
          <w:tcPr>
            <w:tcW w:w="522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ЦНСТПЛУИ</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ЦНСТПЛПР</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ЦНСТПЛД</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Смядово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Представените данни в таблицата показват, че населението в община е застаряващо. През последните 5 години населението на общината остава сравнително постоянно, но с тенденция към намаляване. Раждаемостта е променлива, но се запазва като брой. В сравнение с раждаемостта, смъртността на населението се увеличава. Това се дължи на застаряващото население в общината. Естественият прираст е отрицателна величина, с тенденция към увеличение в негативна посока. Заселените лица по данни от ГД ГРАО намаляват, докато броят на изселените лица е с тенденция за увеличение. Гъстотата на населението също намалява прогресивно, както става видно от посочените данни. Броят на градското население е по-висок от този на населението, което живее в селата от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социалните услуги ЗЖЛПР е необходимо да се разгледа необходимостта от персонал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пряко ангажиран с обслужването на потребителите, тъй като се наблюдава голяма разлика между необходим и назначен персонал. Възможна е промяна в щатното разписание за оптимално функциониране на услугата.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5196"/>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ХИТРИНО</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са използвани официални източници на информация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НСИ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Шумен, ТП на НОИ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Шумен,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Шумен,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Венец, ГРАО, дирекция РРХДП, анализи, доклади, стратегически документи на национално, областно и общинско ниво, Местна комисия за борба срещу противообществените прояви на малолетни и непълнолетни, РУ на МВР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Шумен, данни от доставчици на 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Хитрино, към 31.12.2021 г. е 7073 жители, от тях 826 деца до 18-годишна възраст. Общия брой на лицата с трайни увреждания е 759, от тях деца 9.</w:t>
      </w:r>
    </w:p>
    <w:p>
      <w:pPr>
        <w:spacing w:before="0" w:after="0" w:line="240"/>
        <w:ind w:right="0" w:left="0" w:firstLine="0"/>
        <w:jc w:val="both"/>
        <w:rPr>
          <w:rFonts w:ascii="Times New Roman" w:hAnsi="Times New Roman" w:cs="Times New Roman" w:eastAsia="Times New Roman"/>
          <w:color w:val="auto"/>
          <w:spacing w:val="0"/>
          <w:position w:val="0"/>
          <w:sz w:val="24"/>
          <w:shd w:fill="FFFFFF"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общината е разкрита 1 социална услуга, финансирана от държавния бюджет - асистентска подкрепа с брой потребители 30.</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6561"/>
        <w:gridCol w:w="2499"/>
      </w:tblGrid>
      <w:tr>
        <w:trPr>
          <w:trHeight w:val="1" w:hRule="atLeast"/>
          <w:jc w:val="left"/>
        </w:trPr>
        <w:tc>
          <w:tcPr>
            <w:tcW w:w="656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49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656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4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656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4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Хитрино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социалната услуга на територията на община Хитрино е 41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41</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Хитрино,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такива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Хитрино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Както е видно от предоставените данни в община Хитрино се наблюдава тенденция на застаряване на населението, ниска раждаемост, отрицателен естествен прираст, влошен здравен статус и ниска здравна култура на големи групи от хора.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Хитрино е разкрита само социалната услуга асистентска подкрепа, като персоналът по щатно разписание е 10 броя, а действително са назначени 15 броя. Предвижда се щатните бройки да бъдат увеличени с 8 броя.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5215"/>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8"/>
          <w:shd w:fill="auto" w:val="clear"/>
        </w:rPr>
      </w:pPr>
      <w:r>
        <w:rPr>
          <w:rFonts w:ascii="Times New Roman" w:hAnsi="Times New Roman" w:cs="Times New Roman" w:eastAsia="Times New Roman"/>
          <w:b/>
          <w:color w:val="003366"/>
          <w:spacing w:val="0"/>
          <w:position w:val="0"/>
          <w:sz w:val="28"/>
          <w:shd w:fill="auto" w:val="clear"/>
        </w:rPr>
        <w:t xml:space="preserve">ОБЩИНА ШУМЕН</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са използвани официални източници на информация -</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служители на социалните структури в общината, доставчици на социални услуги, представители на общинска администрация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ГРАО и отделите, отговорни за социални и образователни дейности и здравеопазване,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Шумен,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Шумен, НСИ. Има отказ за информация от РЗИ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Шумен, тъй като софтуера на Регионалната картотека на медицинската експертиза няма разработена функционалност, която да позволява изготвянето на информация, разделена по общини.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Шумен, към 31.12.2021 г. е 85410 жители, от тях 16011 деца до 18-годишна възраст, броят на пълнолетните лица е 69399. Общия брой на лицата с трайни увреждания е 7637, от тях деца 248.</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Шумен са разкрити 22 социални услуги, от които 20 се предоставят в гр. Шумен, 1 в с. Васил Друмев и 1 в с. Церов брод. Общият капацитет на социалните услуги е 752 потребители, в т.ч. 237 на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144"/>
        <w:gridCol w:w="988"/>
        <w:gridCol w:w="1317"/>
        <w:gridCol w:w="1482"/>
        <w:gridCol w:w="1812"/>
        <w:gridCol w:w="1317"/>
      </w:tblGrid>
      <w:tr>
        <w:trPr>
          <w:trHeight w:val="330" w:hRule="auto"/>
          <w:jc w:val="left"/>
        </w:trPr>
        <w:tc>
          <w:tcPr>
            <w:tcW w:w="214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98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131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148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181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ДЦДМУ-СГ</w:t>
            </w:r>
          </w:p>
        </w:tc>
        <w:tc>
          <w:tcPr>
            <w:tcW w:w="131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ЦСРИЛ</w:t>
            </w:r>
          </w:p>
        </w:tc>
      </w:tr>
      <w:tr>
        <w:trPr>
          <w:trHeight w:val="1" w:hRule="atLeast"/>
          <w:jc w:val="left"/>
        </w:trPr>
        <w:tc>
          <w:tcPr>
            <w:tcW w:w="214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9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3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8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8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3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214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9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110</w:t>
            </w:r>
          </w:p>
        </w:tc>
        <w:tc>
          <w:tcPr>
            <w:tcW w:w="13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c>
          <w:tcPr>
            <w:tcW w:w="148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36</w:t>
            </w:r>
          </w:p>
        </w:tc>
        <w:tc>
          <w:tcPr>
            <w:tcW w:w="18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c>
          <w:tcPr>
            <w:tcW w:w="13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80</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869"/>
        <w:gridCol w:w="1149"/>
        <w:gridCol w:w="1582"/>
        <w:gridCol w:w="1747"/>
        <w:gridCol w:w="843"/>
        <w:gridCol w:w="1151"/>
        <w:gridCol w:w="719"/>
      </w:tblGrid>
      <w:tr>
        <w:trPr>
          <w:trHeight w:val="251" w:hRule="auto"/>
          <w:jc w:val="left"/>
        </w:trPr>
        <w:tc>
          <w:tcPr>
            <w:tcW w:w="186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14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ЦСРИД</w:t>
            </w:r>
          </w:p>
        </w:tc>
        <w:tc>
          <w:tcPr>
            <w:tcW w:w="158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174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84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КЦД</w:t>
            </w:r>
          </w:p>
        </w:tc>
        <w:tc>
          <w:tcPr>
            <w:tcW w:w="115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ЗЖЛПР</w:t>
            </w:r>
          </w:p>
        </w:tc>
        <w:tc>
          <w:tcPr>
            <w:tcW w:w="71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186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14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8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17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8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7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86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14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c>
          <w:tcPr>
            <w:tcW w:w="158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27</w:t>
            </w:r>
          </w:p>
        </w:tc>
        <w:tc>
          <w:tcPr>
            <w:tcW w:w="17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28</w:t>
            </w:r>
          </w:p>
        </w:tc>
        <w:tc>
          <w:tcPr>
            <w:tcW w:w="8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11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7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237</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031"/>
        <w:gridCol w:w="1248"/>
        <w:gridCol w:w="1718"/>
        <w:gridCol w:w="939"/>
        <w:gridCol w:w="1562"/>
        <w:gridCol w:w="1562"/>
      </w:tblGrid>
      <w:tr>
        <w:trPr>
          <w:trHeight w:val="281" w:hRule="auto"/>
          <w:jc w:val="left"/>
        </w:trPr>
        <w:tc>
          <w:tcPr>
            <w:tcW w:w="203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24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НЖ</w:t>
            </w:r>
          </w:p>
        </w:tc>
        <w:tc>
          <w:tcPr>
            <w:tcW w:w="171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ЗМБ</w:t>
            </w:r>
          </w:p>
        </w:tc>
        <w:tc>
          <w:tcPr>
            <w:tcW w:w="93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156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ЦОП-СП</w:t>
            </w:r>
          </w:p>
        </w:tc>
        <w:tc>
          <w:tcPr>
            <w:tcW w:w="156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ЦРДУ</w:t>
            </w:r>
          </w:p>
        </w:tc>
      </w:tr>
      <w:tr>
        <w:trPr>
          <w:trHeight w:val="1" w:hRule="atLeast"/>
          <w:jc w:val="left"/>
        </w:trPr>
        <w:tc>
          <w:tcPr>
            <w:tcW w:w="203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2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71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03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2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171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9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85</w:t>
            </w:r>
          </w:p>
        </w:tc>
        <w:tc>
          <w:tcPr>
            <w:tcW w:w="1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Шумен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Шумен е 19 пълнолетни лица. 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ЗЖЛПР</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Шумен,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Шумен, от други общини е 145.</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826"/>
        <w:gridCol w:w="5224"/>
      </w:tblGrid>
      <w:tr>
        <w:trPr>
          <w:trHeight w:val="1" w:hRule="atLeast"/>
          <w:jc w:val="left"/>
        </w:trPr>
        <w:tc>
          <w:tcPr>
            <w:tcW w:w="3826" w:type="dxa"/>
            <w:tcBorders>
              <w:top w:val="single" w:color="000000" w:sz="8"/>
              <w:left w:val="single" w:color="000000" w:sz="8"/>
              <w:bottom w:val="single" w:color="000000" w:sz="8"/>
              <w:right w:val="single" w:color="000000" w:sz="8"/>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224" w:type="dxa"/>
            <w:tcBorders>
              <w:top w:val="single" w:color="000000" w:sz="8"/>
              <w:left w:val="single" w:color="000000" w:sz="0"/>
              <w:bottom w:val="single" w:color="000000" w:sz="8"/>
              <w:right w:val="single" w:color="000000" w:sz="8"/>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3826"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ЦНСТДМУ</w:t>
            </w:r>
          </w:p>
        </w:tc>
        <w:tc>
          <w:tcPr>
            <w:tcW w:w="5224" w:type="dxa"/>
            <w:tcBorders>
              <w:top w:val="single" w:color="000000" w:sz="0"/>
              <w:left w:val="single" w:color="000000" w:sz="0"/>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r>
        <w:trPr>
          <w:trHeight w:val="1" w:hRule="atLeast"/>
          <w:jc w:val="left"/>
        </w:trPr>
        <w:tc>
          <w:tcPr>
            <w:tcW w:w="3826"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ДЦДУ</w:t>
            </w:r>
          </w:p>
        </w:tc>
        <w:tc>
          <w:tcPr>
            <w:tcW w:w="5224"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3826"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ДЦПЛУ</w:t>
            </w:r>
          </w:p>
        </w:tc>
        <w:tc>
          <w:tcPr>
            <w:tcW w:w="5224"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826" w:type="dxa"/>
            <w:tcBorders>
              <w:top w:val="single" w:color="000000" w:sz="8"/>
              <w:left w:val="single" w:color="000000" w:sz="8"/>
              <w:bottom w:val="single" w:color="000000" w:sz="4"/>
              <w:right w:val="single" w:color="000000" w:sz="8"/>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 /КСУДС/</w:t>
            </w:r>
          </w:p>
        </w:tc>
        <w:tc>
          <w:tcPr>
            <w:tcW w:w="5224" w:type="dxa"/>
            <w:tcBorders>
              <w:top w:val="single" w:color="000000" w:sz="8"/>
              <w:left w:val="single" w:color="000000" w:sz="0"/>
              <w:bottom w:val="single" w:color="000000" w:sz="4"/>
              <w:right w:val="single" w:color="000000" w:sz="8"/>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48</w:t>
            </w:r>
          </w:p>
        </w:tc>
      </w:tr>
      <w:tr>
        <w:trPr>
          <w:trHeight w:val="1" w:hRule="atLeast"/>
          <w:jc w:val="left"/>
        </w:trPr>
        <w:tc>
          <w:tcPr>
            <w:tcW w:w="3826" w:type="dxa"/>
            <w:tcBorders>
              <w:top w:val="single" w:color="000000" w:sz="4"/>
              <w:left w:val="single" w:color="000000" w:sz="8"/>
              <w:bottom w:val="single" w:color="000000" w:sz="0"/>
              <w:right w:val="single" w:color="000000" w:sz="8"/>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ЗМБ</w:t>
            </w:r>
          </w:p>
        </w:tc>
        <w:tc>
          <w:tcPr>
            <w:tcW w:w="5224" w:type="dxa"/>
            <w:tcBorders>
              <w:top w:val="single" w:color="000000" w:sz="4"/>
              <w:left w:val="single" w:color="000000" w:sz="0"/>
              <w:bottom w:val="single" w:color="000000" w:sz="0"/>
              <w:right w:val="single" w:color="000000" w:sz="8"/>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3826" w:type="dxa"/>
            <w:tcBorders>
              <w:top w:val="single" w:color="000000" w:sz="4"/>
              <w:left w:val="single" w:color="000000" w:sz="8"/>
              <w:bottom w:val="single" w:color="000000" w:sz="4"/>
              <w:right w:val="single" w:color="000000" w:sz="8"/>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ЦНСТДБУ</w:t>
            </w:r>
          </w:p>
        </w:tc>
        <w:tc>
          <w:tcPr>
            <w:tcW w:w="5224" w:type="dxa"/>
            <w:tcBorders>
              <w:top w:val="single" w:color="000000" w:sz="4"/>
              <w:left w:val="single" w:color="000000" w:sz="0"/>
              <w:bottom w:val="single" w:color="000000" w:sz="4"/>
              <w:right w:val="single" w:color="000000" w:sz="8"/>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r>
        <w:trPr>
          <w:trHeight w:val="1" w:hRule="atLeast"/>
          <w:jc w:val="left"/>
        </w:trPr>
        <w:tc>
          <w:tcPr>
            <w:tcW w:w="3826" w:type="dxa"/>
            <w:tcBorders>
              <w:top w:val="single" w:color="000000" w:sz="4"/>
              <w:left w:val="single" w:color="000000" w:sz="8"/>
              <w:bottom w:val="single" w:color="000000" w:sz="4"/>
              <w:right w:val="single" w:color="000000" w:sz="8"/>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КЦД</w:t>
            </w:r>
          </w:p>
        </w:tc>
        <w:tc>
          <w:tcPr>
            <w:tcW w:w="5224" w:type="dxa"/>
            <w:tcBorders>
              <w:top w:val="single" w:color="000000" w:sz="4"/>
              <w:left w:val="single" w:color="000000" w:sz="0"/>
              <w:bottom w:val="single" w:color="000000" w:sz="4"/>
              <w:right w:val="single" w:color="000000" w:sz="8"/>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21</w:t>
            </w:r>
          </w:p>
        </w:tc>
      </w:tr>
      <w:tr>
        <w:trPr>
          <w:trHeight w:val="1" w:hRule="atLeast"/>
          <w:jc w:val="left"/>
        </w:trPr>
        <w:tc>
          <w:tcPr>
            <w:tcW w:w="3826" w:type="dxa"/>
            <w:tcBorders>
              <w:top w:val="single" w:color="000000" w:sz="4"/>
              <w:left w:val="single" w:color="000000" w:sz="8"/>
              <w:bottom w:val="single" w:color="000000" w:sz="4"/>
              <w:right w:val="single" w:color="000000" w:sz="8"/>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ЗЖЛПР</w:t>
            </w:r>
          </w:p>
        </w:tc>
        <w:tc>
          <w:tcPr>
            <w:tcW w:w="5224" w:type="dxa"/>
            <w:tcBorders>
              <w:top w:val="single" w:color="000000" w:sz="4"/>
              <w:left w:val="single" w:color="000000" w:sz="0"/>
              <w:bottom w:val="single" w:color="000000" w:sz="4"/>
              <w:right w:val="single" w:color="000000" w:sz="8"/>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3826" w:type="dxa"/>
            <w:tcBorders>
              <w:top w:val="single" w:color="000000" w:sz="4"/>
              <w:left w:val="single" w:color="000000" w:sz="8"/>
              <w:bottom w:val="single" w:color="000000" w:sz="4"/>
              <w:right w:val="single" w:color="000000" w:sz="8"/>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ЦСРИЛЗУ</w:t>
            </w:r>
          </w:p>
        </w:tc>
        <w:tc>
          <w:tcPr>
            <w:tcW w:w="5224" w:type="dxa"/>
            <w:tcBorders>
              <w:top w:val="single" w:color="000000" w:sz="4"/>
              <w:left w:val="single" w:color="000000" w:sz="0"/>
              <w:bottom w:val="single" w:color="000000" w:sz="4"/>
              <w:right w:val="single" w:color="000000" w:sz="8"/>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3826" w:type="dxa"/>
            <w:tcBorders>
              <w:top w:val="single" w:color="000000" w:sz="4"/>
              <w:left w:val="single" w:color="000000" w:sz="8"/>
              <w:bottom w:val="single" w:color="000000" w:sz="4"/>
              <w:right w:val="single" w:color="000000" w:sz="8"/>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ДЦДМУ</w:t>
            </w:r>
          </w:p>
        </w:tc>
        <w:tc>
          <w:tcPr>
            <w:tcW w:w="5224" w:type="dxa"/>
            <w:tcBorders>
              <w:top w:val="single" w:color="000000" w:sz="4"/>
              <w:left w:val="single" w:color="000000" w:sz="0"/>
              <w:bottom w:val="single" w:color="000000" w:sz="4"/>
              <w:right w:val="single" w:color="000000" w:sz="8"/>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3826" w:type="dxa"/>
            <w:tcBorders>
              <w:top w:val="single" w:color="000000" w:sz="4"/>
              <w:left w:val="single" w:color="000000" w:sz="8"/>
              <w:bottom w:val="single" w:color="000000" w:sz="4"/>
              <w:right w:val="single" w:color="000000" w:sz="8"/>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5224" w:type="dxa"/>
            <w:tcBorders>
              <w:top w:val="single" w:color="000000" w:sz="4"/>
              <w:left w:val="single" w:color="000000" w:sz="0"/>
              <w:bottom w:val="single" w:color="000000" w:sz="4"/>
              <w:right w:val="single" w:color="000000" w:sz="8"/>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36</w:t>
            </w:r>
          </w:p>
        </w:tc>
      </w:tr>
      <w:tr>
        <w:trPr>
          <w:trHeight w:val="1" w:hRule="atLeast"/>
          <w:jc w:val="left"/>
        </w:trPr>
        <w:tc>
          <w:tcPr>
            <w:tcW w:w="3826" w:type="dxa"/>
            <w:tcBorders>
              <w:top w:val="single" w:color="000000" w:sz="4"/>
              <w:left w:val="single" w:color="000000" w:sz="8"/>
              <w:bottom w:val="single" w:color="000000" w:sz="8"/>
              <w:right w:val="single" w:color="000000" w:sz="8"/>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w:t>
            </w:r>
          </w:p>
        </w:tc>
        <w:tc>
          <w:tcPr>
            <w:tcW w:w="5224" w:type="dxa"/>
            <w:tcBorders>
              <w:top w:val="single" w:color="000000" w:sz="4"/>
              <w:left w:val="single" w:color="000000" w:sz="0"/>
              <w:bottom w:val="single" w:color="000000" w:sz="8"/>
              <w:right w:val="single" w:color="000000" w:sz="8"/>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Шумен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Анализът показва, че за 5 години броят на населението на община Шумен е намалял с 2341 души. Смъртността в общината е значително по-висока от раждаемостта, което е и един от основните демографски проблеми. Основния проблем е, че броят на смъртните случай значително превишава броят на ражданията, което е и причината за формирането на отрицателни стойности на естествения прираст. Стойностите на механичния прираст за последните 4- ри години на анализирания период са положителни. Тези стойности, обаче не могат да компенсират отрицателните стойности на естествения прираст. Поради тази причина населението на общината продължава да намалява. Стандартната възрастова структура на населението очертава тенденция на намаляване на контингентите от лица в отделните възрастови групи, което е резултат от намаляване на общия брой на населението. Данните за възрастовата структура сочат, че се задълбочава регресивният тип структура и се запазва тенденцията за застаряване на населението. Промените във възрастовата структура през последните години се характеризират с увеличение на относителния дял на лицата над 65 годишна възраст и намаляване дела на детското население и населението в трудоспособна възраст. Тенденциите в развитието на демографските процеси в областта, както и стойностите на основните демографски показатели са съпоставими със средните за страната.</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След трансформиране на услугите, съгласно Наредбата за качество на социалните услуги ще е необходимо да се увеличат щатните бройки в почти всички услуги, в съответствие с ново определените брой места.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5299"/>
        </w:numPr>
        <w:tabs>
          <w:tab w:val="left" w:pos="718" w:leader="none"/>
        </w:tabs>
        <w:spacing w:before="360" w:after="120" w:line="240"/>
        <w:ind w:right="0" w:left="718" w:hanging="576"/>
        <w:jc w:val="both"/>
        <w:rPr>
          <w:rFonts w:ascii="Times New Roman" w:hAnsi="Times New Roman" w:cs="Times New Roman" w:eastAsia="Times New Roman"/>
          <w:b/>
          <w:color w:val="003366"/>
          <w:spacing w:val="0"/>
          <w:position w:val="0"/>
          <w:sz w:val="28"/>
          <w:shd w:fill="auto" w:val="clear"/>
        </w:rPr>
      </w:pPr>
      <w:r>
        <w:rPr>
          <w:rFonts w:ascii="Times New Roman" w:hAnsi="Times New Roman" w:cs="Times New Roman" w:eastAsia="Times New Roman"/>
          <w:b/>
          <w:color w:val="003366"/>
          <w:spacing w:val="0"/>
          <w:position w:val="0"/>
          <w:sz w:val="28"/>
          <w:shd w:fill="auto" w:val="clear"/>
        </w:rPr>
        <w:t xml:space="preserve">АНАЛИЗ НА ПОТРЕБНОСТИТЕ В ОБЛАСТ ШУМЕН (обобщено)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обобщени за област Шумен по общини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общините от област Шумен информацията за населението по критериите съгласно Наредбата за планиране на социалните услуги е получена от отдел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Статистически данни“- Шумен към ТСБ Североизток, информационна система ГРАО на общините, Агенция за хората с увреждания, РЗИ, от ДСП, от ДБТ, кметове и кметски наместници, училища, лечебни заведения, социални услуги и др.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област Шумен, към 31.12.2021 г. е 171720 жители, от тях 31180 деца до 18-годишна възраст, броят на пълнолетните лица е 140541. Общия брой на лицата с трайни увреждания е 17083, от тях деца 480.</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областта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социалните услуги на територията на област Шумен е 59 с 1596 потребители. Броят на социалните услуги за пълнолетни лица е 37, с 1073 потребители.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за деца са 22 със 523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графиките е видно, че на територията на областта преобладават услугите за резидентна грижа (ЦНСТ, ЗЖ, НЖ, КЦ,ЗМБ) 26 услуги за 284 потребители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услугите в домашна среда (АП)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10 </w:t>
      </w:r>
      <w:r>
        <w:rPr>
          <w:rFonts w:ascii="Times New Roman" w:hAnsi="Times New Roman" w:cs="Times New Roman" w:eastAsia="Times New Roman"/>
          <w:color w:val="auto"/>
          <w:spacing w:val="0"/>
          <w:position w:val="0"/>
          <w:sz w:val="24"/>
          <w:shd w:fill="auto" w:val="clear"/>
        </w:rPr>
        <w:t xml:space="preserve">услуги за 517 потребители,</w:t>
      </w:r>
      <w:r>
        <w:rPr>
          <w:rFonts w:ascii="Times New Roman" w:hAnsi="Times New Roman" w:cs="Times New Roman" w:eastAsia="Times New Roman"/>
          <w:color w:val="C00000"/>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услугите в специализирани институции за пълнолетни лица (ДСХ) 2 услуги за 175 потребители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консултативни услуги (ДЦ, ЦСРИ, ЦОП, ЦРДУ)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21 </w:t>
      </w:r>
      <w:r>
        <w:rPr>
          <w:rFonts w:ascii="Times New Roman" w:hAnsi="Times New Roman" w:cs="Times New Roman" w:eastAsia="Times New Roman"/>
          <w:color w:val="auto"/>
          <w:spacing w:val="0"/>
          <w:position w:val="0"/>
          <w:sz w:val="24"/>
          <w:shd w:fill="auto" w:val="clear"/>
        </w:rPr>
        <w:t xml:space="preserve">услуги за 617 потребители.</w:t>
      </w:r>
    </w:p>
    <w:tbl>
      <w:tblPr/>
      <w:tblGrid>
        <w:gridCol w:w="4037"/>
        <w:gridCol w:w="5023"/>
      </w:tblGrid>
      <w:tr>
        <w:trPr>
          <w:trHeight w:val="1" w:hRule="atLeast"/>
          <w:jc w:val="left"/>
        </w:trPr>
        <w:tc>
          <w:tcPr>
            <w:tcW w:w="403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02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Асистентска подкрепа</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67</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ЦНСТПЛД</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ЦНСТПЛПР</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72</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ЦНСТМУ</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ЦНСТПЛУИ</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144</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ЗЖЛПР</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160</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ДЦПЛУ</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Общо</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433</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област Шумен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Общо 433 лица са включени в списъците на чакащите за ползване на социални услуги в териториалния обхват на област Шумен. Голям е и броят на лицата за включване в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област Шумен, различна от  общината по настоящ адрес</w:t>
      </w:r>
    </w:p>
    <w:p>
      <w:pPr>
        <w:spacing w:before="0" w:after="0" w:line="240"/>
        <w:ind w:right="0" w:left="0" w:firstLine="635"/>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635"/>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635"/>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и интегрирани здравно-социални услуги на територията на област Шумен, различна от общината по настоящ адрес е 394. Най-голям е техният брой в социалните услуги на територията на общините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Шумен, Нови Пазар, Смядово, следвани от общините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Каспичан, Венец и Велики Преслав. В общините Хитрино, Никола Козлево, Каолиново и Върбица се предоставя единствено Асистентска подкрепа и потребителите са от съответната община.</w:t>
      </w: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графиката е представено сравнение между функциониращите към момента социални услуги, финансирани от държавния бюджет, съотнесени към социалните услуги по чл. 15 от ЗСУ, максималния брой потребители, съгласно критериите по Наредбата за планиране на социалните услуги и поетите ангажименти от общините в областта.</w:t>
      </w: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област Шумен за последните 5 години</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Анализът на данните на демографското развитие в област Шумен за периода 2021 г.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2017 </w:t>
      </w:r>
      <w:r>
        <w:rPr>
          <w:rFonts w:ascii="Times New Roman" w:hAnsi="Times New Roman" w:cs="Times New Roman" w:eastAsia="Times New Roman"/>
          <w:color w:val="auto"/>
          <w:spacing w:val="0"/>
          <w:position w:val="0"/>
          <w:sz w:val="24"/>
          <w:shd w:fill="auto" w:val="clear"/>
        </w:rPr>
        <w:t xml:space="preserve">г. показва тенденция към намаление на броя на населението във всички общини. Във всички общини се отчита ниска раждаемост с тенденция към намаление, висока смъртност и отрицателен естествен прираст. Прогресивно намаляване на относителния дял на лицата в трудоспособна възраст. Устойчива тенденция към емиграция и обезлюдяване. Висок е броя на хората с увреждания, както и на самотно живеещите стари хора от  селата в общината, с невъзможност за самообслужване.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Всички тези фактори, показват че на територията на общината населението застарява и има необходимост от социални услуги за резидентна грижа и услуги в домашна среда. Към настоящия момент всички общини имат ползватели на механизма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Лична помощ“ по реда на Закона за личната помощ, участват и в процедура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Топъл обяд“ на Програма за храни и основно материално подпомагане 2021 г. -2027 г., в процедура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Патронажна грижа +“ и др. с оглед осигуряване на възможност за грижа и подкрепа на по-голяма част от населението в областта. Предизвикателство пред общините е и миграцията на населението в трудоспособна възраст към скандинавските и други европейски страни, което създава сериозни рискове за децата от тези семейства по отношение на пълноценната родителска грижа, образованието и развитието им.</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съпоставка на данните за броя на назначени служители и броя незаети длъжности към момента на извършването на анализа по утвърдените щатни разписания във всяка услуга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държавно делегирана дейност, както и въз основа на определените минимални изисквания в стандартите за качество на социалните услуги, касаещи броя и квалификацията на необходимите служители, по-голяма част от социалните услуги в областта са обезпечени със служители, необходими за предоставянето им. От данните е видно, че е малък относителния дял на незаетите места, което в по-голяма степен се отнася до нуждата от специалисти.</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Шумен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са ключов фактор за ефективно социално включване и участие в живота на обществото на всички групи лица, които имат необходимост от подкрепа. Във основа на направения анализ на състоянието на социалните услуги на територията на областта и очерталите се тенденции, могат да се направят следните изводи: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най-голям брой са консултативните социални услуги, за които е очертана необходимост от увеличаване на броя на местата или създаване на нови. Общините в областта са предприели съответните действия в посока приравняване на настоящето положение на услугите с установената необходимост от критериите по НПСУ.</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 следващо място преобладават услугите за резидентна грижа, но броят им е недостатъчен за задоволяване на потребностите на жителите на областта;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Недостатъчен е броят на услугите за дневна и почасова грижа и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Наблюдава се недостиг на общодостъпни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за осигуряване на подслон за лица (деца и пълнолетни) са със сравнително ниски стойности на потребност, но от представените данни е видно, че съществуващия брой на услугите не покрива необходимостта от такива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 първо място се наблюдава необходимост от услуги за осигуряване на подслон за пълнолетни лица пострадали от домашно насилие и лица, жертви на трафик, на следващо място от услуги за осигуряване на подслон за лица в кризисна ситуация и на последно място, но с видимо високи стойности е потребността от услуги за осигуряване на подслон за деца, пострадали от домашно насилие и деца, жертви на трафик;</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няма интегрирани здравно-социални услуги за деца и възрастни хора;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Осигуряването на равен достъп до услуги на всички нуждаещи се чрез планиране на социални услуги, съгласно реалните потребности и нужди и равномерно разпределение на социалните услуги на територията на област Шумен са съществена част от политиките на областната и общинските администрации.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5330"/>
        </w:numPr>
        <w:tabs>
          <w:tab w:val="left" w:pos="718" w:leader="none"/>
        </w:tabs>
        <w:spacing w:before="0" w:after="0" w:line="240"/>
        <w:ind w:right="0" w:left="718" w:hanging="576"/>
        <w:jc w:val="both"/>
        <w:rPr>
          <w:rFonts w:ascii="Times New Roman" w:hAnsi="Times New Roman" w:cs="Times New Roman" w:eastAsia="Times New Roman"/>
          <w:b/>
          <w:color w:val="003366"/>
          <w:spacing w:val="0"/>
          <w:position w:val="0"/>
          <w:sz w:val="28"/>
          <w:shd w:fill="auto" w:val="clear"/>
        </w:rPr>
      </w:pPr>
      <w:r>
        <w:rPr>
          <w:rFonts w:ascii="Times New Roman" w:hAnsi="Times New Roman" w:cs="Times New Roman" w:eastAsia="Times New Roman"/>
          <w:b/>
          <w:color w:val="003366"/>
          <w:spacing w:val="0"/>
          <w:position w:val="0"/>
          <w:sz w:val="28"/>
          <w:shd w:fill="auto" w:val="clear"/>
        </w:rPr>
        <w:t xml:space="preserve">ОБЛАСТ ТЪРГОВИЩЕ</w:t>
      </w:r>
    </w:p>
    <w:p>
      <w:pPr>
        <w:keepNext w:val="true"/>
        <w:numPr>
          <w:ilvl w:val="0"/>
          <w:numId w:val="5330"/>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АНТОНОВО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Антоново информацията за населението по настоящ адрес е получена от Териториално статистическо бюро (ТСБ)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Североизток, Регионална здравна инспекция (РЗИ) - Търговище, Регионално управление на образованието (РУО) - Търговище, Дирекция "Бюро по труда" (ДБТ) - Омуртаг и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(ДСП) - Омуртаг.</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Антоново е 5 738 жители, от тях 1 017 деца до 18-годишна възраст. Общия брой на лицата с трайни увреждания е 524, от тях деца 19.</w:t>
      </w:r>
    </w:p>
    <w:p>
      <w:pPr>
        <w:spacing w:before="0" w:after="0" w:line="312"/>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709"/>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312"/>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Видин са разкрити 23 социални услуги, от тях 20 се предоставят в гр. Видин, 2 в с. Гомотарци и 1 в с. Кутово. Общият капацитет на социалните услуги е за 555 потребители, в т.ч. 186 асистентска подкрепа и 20 в Дом за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Антоново е разкрита само социалната услуга Асистентска подкрепа с 31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5556"/>
        <w:gridCol w:w="3504"/>
      </w:tblGrid>
      <w:tr>
        <w:trPr>
          <w:trHeight w:val="1" w:hRule="atLeast"/>
          <w:jc w:val="center"/>
        </w:trPr>
        <w:tc>
          <w:tcPr>
            <w:tcW w:w="555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350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center"/>
        </w:trPr>
        <w:tc>
          <w:tcPr>
            <w:tcW w:w="55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35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center"/>
        </w:trPr>
        <w:tc>
          <w:tcPr>
            <w:tcW w:w="55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35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31</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Антоново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Антоново е 7 лица.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bl>
    <w:p>
      <w:pPr>
        <w:spacing w:before="0" w:after="0" w:line="312"/>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Антоново,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Антоново не предоставя социални и интегрирани здравно-социални услуги на лица от други общини.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Антоново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Графиката показва устойчива тенденция към намаляване на общия брой на населението. Смъртността е със значително по-високи стойности. Изселените са повече от заселените, като механичния прираст е с отрицателен знак. Миграцията оказва силен негативен ефект върху възпроизводството на населението, тъй като чрез изселването на жени в родилна възраст се понижава равнището на потенциалната бъдеща раждаемост.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отношение на раждаемостта общината има по-неблагоприятни позиции от средните за областта и за страната. Влошената характеристика на възпроизводствените процеси, особено в селската територия е трайно явление, което ще оказва въздействие върху социално-икономическото развитие на общината. По този показател общината е с много по-неблагоприятни показатели от областта и страната.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tabs>
          <w:tab w:val="left" w:pos="709" w:leader="none"/>
        </w:tabs>
        <w:suppressAutoHyphens w:val="true"/>
        <w:spacing w:before="0" w:after="0" w:line="312"/>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предоставената информация е видно, че не са обезпечени необходимите категории служители, а именно: ръководител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щ. бр.; социален работник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щ. бр.; специалист социални дейности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щ. бр.; медицински специалист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0.5 </w:t>
      </w:r>
      <w:r>
        <w:rPr>
          <w:rFonts w:ascii="Times New Roman" w:hAnsi="Times New Roman" w:cs="Times New Roman" w:eastAsia="Times New Roman"/>
          <w:color w:val="auto"/>
          <w:spacing w:val="0"/>
          <w:position w:val="0"/>
          <w:sz w:val="24"/>
          <w:shd w:fill="auto" w:val="clear"/>
        </w:rPr>
        <w:t xml:space="preserve">щ. бр.; психолог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0.5 </w:t>
      </w:r>
      <w:r>
        <w:rPr>
          <w:rFonts w:ascii="Times New Roman" w:hAnsi="Times New Roman" w:cs="Times New Roman" w:eastAsia="Times New Roman"/>
          <w:color w:val="auto"/>
          <w:spacing w:val="0"/>
          <w:position w:val="0"/>
          <w:sz w:val="24"/>
          <w:shd w:fill="auto" w:val="clear"/>
        </w:rPr>
        <w:t xml:space="preserve">щ. бр.; юрист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0.5 </w:t>
      </w:r>
      <w:r>
        <w:rPr>
          <w:rFonts w:ascii="Times New Roman" w:hAnsi="Times New Roman" w:cs="Times New Roman" w:eastAsia="Times New Roman"/>
          <w:color w:val="auto"/>
          <w:spacing w:val="0"/>
          <w:position w:val="0"/>
          <w:sz w:val="24"/>
          <w:shd w:fill="auto" w:val="clear"/>
        </w:rPr>
        <w:t xml:space="preserve">щ. бр.; социален педагог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0.5 </w:t>
      </w:r>
      <w:r>
        <w:rPr>
          <w:rFonts w:ascii="Times New Roman" w:hAnsi="Times New Roman" w:cs="Times New Roman" w:eastAsia="Times New Roman"/>
          <w:color w:val="auto"/>
          <w:spacing w:val="0"/>
          <w:position w:val="0"/>
          <w:sz w:val="24"/>
          <w:shd w:fill="auto" w:val="clear"/>
        </w:rPr>
        <w:t xml:space="preserve">щ. бр.; рехабилитатор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0.5 </w:t>
      </w:r>
      <w:r>
        <w:rPr>
          <w:rFonts w:ascii="Times New Roman" w:hAnsi="Times New Roman" w:cs="Times New Roman" w:eastAsia="Times New Roman"/>
          <w:color w:val="auto"/>
          <w:spacing w:val="0"/>
          <w:position w:val="0"/>
          <w:sz w:val="24"/>
          <w:shd w:fill="auto" w:val="clear"/>
        </w:rPr>
        <w:t xml:space="preserve">щ. бр.; общности работници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3 </w:t>
      </w:r>
      <w:r>
        <w:rPr>
          <w:rFonts w:ascii="Times New Roman" w:hAnsi="Times New Roman" w:cs="Times New Roman" w:eastAsia="Times New Roman"/>
          <w:color w:val="auto"/>
          <w:spacing w:val="0"/>
          <w:position w:val="0"/>
          <w:sz w:val="24"/>
          <w:shd w:fill="auto" w:val="clear"/>
        </w:rPr>
        <w:t xml:space="preserve">щ. бр.; технически сътрудник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бр.; шофьор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щ. бр.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общо 10.5 щ. бр.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5355"/>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ОМУРТАГ</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Омуртаг информацията за населението по настоящ адрес е получена от общинска администрация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Омуртаг, ръководители на социални услуги и проекти в община Омуртаг, ТСБ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Североизток, РЗИ - Търговище, РУО - Търговище, ДБТ - Омуртаг и ДСП - Омуртаг.</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Омуртаг е 25 204 жители, от тях 7 439 деца до 18-годишна възраст. Общия брой на лицата с трайни увреждания е 2 162, от тях деца 75.</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Омуртаг функционира само социалната услуга Асистентска подкрепа с 61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5556"/>
        <w:gridCol w:w="3504"/>
      </w:tblGrid>
      <w:tr>
        <w:trPr>
          <w:trHeight w:val="1" w:hRule="atLeast"/>
          <w:jc w:val="center"/>
        </w:trPr>
        <w:tc>
          <w:tcPr>
            <w:tcW w:w="555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350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center"/>
        </w:trPr>
        <w:tc>
          <w:tcPr>
            <w:tcW w:w="55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35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center"/>
        </w:trPr>
        <w:tc>
          <w:tcPr>
            <w:tcW w:w="55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35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61</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Омуртаг</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Омуртаг е 36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443"/>
        <w:gridCol w:w="5628"/>
      </w:tblGrid>
      <w:tr>
        <w:trPr>
          <w:trHeight w:val="1" w:hRule="atLeast"/>
          <w:jc w:val="left"/>
        </w:trPr>
        <w:tc>
          <w:tcPr>
            <w:tcW w:w="344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62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44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c>
          <w:tcPr>
            <w:tcW w:w="562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36</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Омуртаг,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Омуртаг не предоставя социални и интегрирани здравно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социални услуги на лица от други общини.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Омуртаг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Графиката показва трайна тенденция към намаляване на общия брой на населението на общината. Високите стойности на смъртността и относително ниските стойности на раждаемост водят до отрицателен естествен прираст за територията на община Омуртаг</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момента няма незаети места в социалните услуги в община Омуртаг.</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5377"/>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ОПАКА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Опака информацията за населението по настоящ адрес е получена от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Попово, ТСБ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Североизток,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Попово, общинска администрация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Опака и информационна система ГРАО.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Опака е 6 103 жители, от тях 1 051 деца до 18-годишна възраст. Общия брой на лицата с трайни увреждания е 396, от тях деца 6.</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12"/>
        <w:ind w:right="-569"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Опака са разкрити 2 социални услуги, от тях резидентната грижа се предоставя в с. Гърчиново, а услугата в домашна среда - в гр. Опака. Общият капацитет на социалните услуги е 35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923"/>
        <w:gridCol w:w="2437"/>
        <w:gridCol w:w="1700"/>
      </w:tblGrid>
      <w:tr>
        <w:trPr>
          <w:trHeight w:val="1" w:hRule="atLeast"/>
          <w:jc w:val="center"/>
        </w:trPr>
        <w:tc>
          <w:tcPr>
            <w:tcW w:w="492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43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17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center"/>
        </w:trPr>
        <w:tc>
          <w:tcPr>
            <w:tcW w:w="49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4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center"/>
        </w:trPr>
        <w:tc>
          <w:tcPr>
            <w:tcW w:w="49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4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21</w:t>
            </w:r>
          </w:p>
        </w:tc>
        <w:tc>
          <w:tcPr>
            <w:tcW w:w="17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Опака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Броят на желаещите да ползват социални услуги на територията на община Опака е 26 лица за услуги в домашна среда. Приемът на домуващи в ДСХ е преустановен със заповед на Изпълнителният директор на АСП считано от 01.03.2017 г.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443"/>
        <w:gridCol w:w="5628"/>
      </w:tblGrid>
      <w:tr>
        <w:trPr>
          <w:trHeight w:val="1" w:hRule="atLeast"/>
          <w:jc w:val="left"/>
        </w:trPr>
        <w:tc>
          <w:tcPr>
            <w:tcW w:w="344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62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44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c>
          <w:tcPr>
            <w:tcW w:w="562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26</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Опака,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Опака, от други общини е 6.</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443"/>
        <w:gridCol w:w="5628"/>
      </w:tblGrid>
      <w:tr>
        <w:trPr>
          <w:trHeight w:val="1" w:hRule="atLeast"/>
          <w:jc w:val="left"/>
        </w:trPr>
        <w:tc>
          <w:tcPr>
            <w:tcW w:w="344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62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44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562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Опака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Графиката показва постепенно намаляване на раждаемостта, висока смъртност и трайна тенденция към отрицателен естествен прираст. Устойчива тенденция към емиграция и обезлюдяване на община Опака с ясно изразени външно-миграционни процеси.</w:t>
      </w:r>
    </w:p>
    <w:p>
      <w:pPr>
        <w:spacing w:before="0" w:after="0" w:line="312"/>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в община Опака са обезпечени с кадри необходими за предоставянето им.</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5407"/>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8"/>
          <w:shd w:fill="auto" w:val="clear"/>
        </w:rPr>
      </w:pPr>
      <w:r>
        <w:rPr>
          <w:rFonts w:ascii="Times New Roman" w:hAnsi="Times New Roman" w:cs="Times New Roman" w:eastAsia="Times New Roman"/>
          <w:b/>
          <w:color w:val="003366"/>
          <w:spacing w:val="0"/>
          <w:position w:val="0"/>
          <w:sz w:val="28"/>
          <w:shd w:fill="auto" w:val="clear"/>
        </w:rPr>
        <w:t xml:space="preserve">ОБЩИНА ПОПОВО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за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Попово информацията за населението по настоящ адрес е получена от информационна система ГРАО, НСИ, НОИ и РЗИ,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Попово, </w:t>
      </w:r>
      <w:hyperlink xmlns:r="http://schemas.openxmlformats.org/officeDocument/2006/relationships" r:id="docRId28">
        <w:r>
          <w:rPr>
            <w:rFonts w:ascii="Times New Roman" w:hAnsi="Times New Roman" w:cs="Times New Roman" w:eastAsia="Times New Roman"/>
            <w:color w:val="0000FF"/>
            <w:spacing w:val="0"/>
            <w:position w:val="0"/>
            <w:sz w:val="24"/>
            <w:u w:val="single"/>
            <w:shd w:fill="auto" w:val="clear"/>
          </w:rPr>
          <w:t xml:space="preserve">Многопрофилна болница за активно лечение - Попово</w:t>
        </w:r>
      </w:hyperlink>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местна комисия за борба с противообществените прояви малолетните и непълнолетните, общинска администрация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Попово.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Попово е 22 834 жители, от тях 3 637 деца до 18-годишна възраст. Общия брой на лицата с трайни увреждания е 1 796, от тях деца 68.</w:t>
      </w:r>
    </w:p>
    <w:p>
      <w:pPr>
        <w:spacing w:before="0" w:after="0" w:line="312"/>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Попово са разкрити 9 социални услуги, от тях 6 се предоставят в гр. Попово и 3 в с. Медовина. Общият капацитет на социалните услуги е за 225 потребители, в т.ч. 72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Попово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Попово е 36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center"/>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center"/>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ЦНСТПЛУИ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r>
        <w:trPr>
          <w:trHeight w:val="1" w:hRule="atLeast"/>
          <w:jc w:val="center"/>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Асистентска подкрепа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31</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Попово,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Лицата от други общини, които ползват социални услуги на територията на община Попово са 17.</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443"/>
        <w:gridCol w:w="5628"/>
      </w:tblGrid>
      <w:tr>
        <w:trPr>
          <w:trHeight w:val="1" w:hRule="atLeast"/>
          <w:jc w:val="left"/>
        </w:trPr>
        <w:tc>
          <w:tcPr>
            <w:tcW w:w="344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62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44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ЦНСТДМУ</w:t>
            </w:r>
          </w:p>
        </w:tc>
        <w:tc>
          <w:tcPr>
            <w:tcW w:w="562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r>
        <w:trPr>
          <w:trHeight w:val="1" w:hRule="atLeast"/>
          <w:jc w:val="left"/>
        </w:trPr>
        <w:tc>
          <w:tcPr>
            <w:tcW w:w="344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ЦНСТДБУ</w:t>
            </w:r>
          </w:p>
        </w:tc>
        <w:tc>
          <w:tcPr>
            <w:tcW w:w="562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344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ЦНСТПЛУИ</w:t>
            </w:r>
          </w:p>
        </w:tc>
        <w:tc>
          <w:tcPr>
            <w:tcW w:w="562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r>
        <w:trPr>
          <w:trHeight w:val="1" w:hRule="atLeast"/>
          <w:jc w:val="left"/>
        </w:trPr>
        <w:tc>
          <w:tcPr>
            <w:tcW w:w="344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ЗЖЛУИ</w:t>
            </w:r>
          </w:p>
        </w:tc>
        <w:tc>
          <w:tcPr>
            <w:tcW w:w="562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социалните услуги, на територията на общината е нает необходимият персонал за осигуряване на грижа за потребителите на услугите.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Попово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Наблюдава се плавно намаляване на жителите в общината, като процеса е по-силно изразен в селата. Раждаемостта е ниска, а равнището на смъртността е високо - тези нива определят отрицателен естествен прираст на населението.</w:t>
      </w:r>
    </w:p>
    <w:p>
      <w:pPr>
        <w:spacing w:before="0" w:after="0" w:line="312"/>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5436"/>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8"/>
          <w:shd w:fill="auto" w:val="clear"/>
        </w:rPr>
      </w:pPr>
      <w:r>
        <w:rPr>
          <w:rFonts w:ascii="Times New Roman" w:hAnsi="Times New Roman" w:cs="Times New Roman" w:eastAsia="Times New Roman"/>
          <w:b/>
          <w:color w:val="003366"/>
          <w:spacing w:val="0"/>
          <w:position w:val="0"/>
          <w:sz w:val="28"/>
          <w:shd w:fill="auto" w:val="clear"/>
        </w:rPr>
        <w:t xml:space="preserve">ОБЩИНА ТЪРГОВИЩЕ</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Търговище информацията за населението по настоящ адрес е получена от ГРАО, НСИ, РУО - Търговище, РЗИ - Търговище, ДБТ - Търговище, ТСБ - Североизток, ДСП - Търговище, НПО и общинска администрация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Търговище.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Търговище, към 31.12.2021 г. е 53 041 жители, от тях 10 649 деца до 18-годишна възраст. Общия брой на лицата с трайни увреждания е 5 415, от тях деца 305.</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Търговище са разкрити 19 социални услуги, от тях 14 се предоставят в гр. Търговище, включително 1 интегрирано здравно-социална услуга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ЦНСТДУППМГ, 2 в с. Съединение, 2 в с. Макариополско и 1 в с. Лиляк. Общият капацитет на социалните услуги е за 467 потребители, в т.ч. 139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934"/>
        <w:gridCol w:w="1541"/>
        <w:gridCol w:w="1614"/>
        <w:gridCol w:w="2241"/>
        <w:gridCol w:w="1730"/>
      </w:tblGrid>
      <w:tr>
        <w:trPr>
          <w:trHeight w:val="1" w:hRule="atLeast"/>
          <w:jc w:val="left"/>
        </w:trPr>
        <w:tc>
          <w:tcPr>
            <w:tcW w:w="193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54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ЦНСТДУ</w:t>
            </w:r>
          </w:p>
        </w:tc>
        <w:tc>
          <w:tcPr>
            <w:tcW w:w="16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ЦНСТМУ</w:t>
            </w:r>
          </w:p>
        </w:tc>
        <w:tc>
          <w:tcPr>
            <w:tcW w:w="224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ЦНСТДППМГ</w:t>
            </w:r>
          </w:p>
        </w:tc>
        <w:tc>
          <w:tcPr>
            <w:tcW w:w="173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ЦНСТДБУ</w:t>
            </w:r>
          </w:p>
        </w:tc>
      </w:tr>
      <w:tr>
        <w:trPr>
          <w:trHeight w:val="1" w:hRule="atLeast"/>
          <w:jc w:val="left"/>
        </w:trPr>
        <w:tc>
          <w:tcPr>
            <w:tcW w:w="19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Брой СУ</w:t>
            </w:r>
          </w:p>
        </w:tc>
        <w:tc>
          <w:tcPr>
            <w:tcW w:w="15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6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22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7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r>
      <w:tr>
        <w:trPr>
          <w:trHeight w:val="1" w:hRule="atLeast"/>
          <w:jc w:val="left"/>
        </w:trPr>
        <w:tc>
          <w:tcPr>
            <w:tcW w:w="19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Брой потребители</w:t>
            </w:r>
          </w:p>
        </w:tc>
        <w:tc>
          <w:tcPr>
            <w:tcW w:w="15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14</w:t>
            </w:r>
          </w:p>
        </w:tc>
        <w:tc>
          <w:tcPr>
            <w:tcW w:w="16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14</w:t>
            </w:r>
          </w:p>
        </w:tc>
        <w:tc>
          <w:tcPr>
            <w:tcW w:w="22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8</w:t>
            </w:r>
          </w:p>
        </w:tc>
        <w:tc>
          <w:tcPr>
            <w:tcW w:w="17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10</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949"/>
        <w:gridCol w:w="1350"/>
        <w:gridCol w:w="1301"/>
        <w:gridCol w:w="1250"/>
        <w:gridCol w:w="1464"/>
        <w:gridCol w:w="844"/>
        <w:gridCol w:w="902"/>
      </w:tblGrid>
      <w:tr>
        <w:trPr>
          <w:trHeight w:val="1" w:hRule="atLeast"/>
          <w:jc w:val="left"/>
        </w:trPr>
        <w:tc>
          <w:tcPr>
            <w:tcW w:w="194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35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ДЦДМУ</w:t>
            </w:r>
          </w:p>
        </w:tc>
        <w:tc>
          <w:tcPr>
            <w:tcW w:w="130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ДЦПЛУ</w:t>
            </w:r>
          </w:p>
        </w:tc>
        <w:tc>
          <w:tcPr>
            <w:tcW w:w="125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ЦСРИД</w:t>
            </w:r>
          </w:p>
        </w:tc>
        <w:tc>
          <w:tcPr>
            <w:tcW w:w="146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ЦСРИПЛ</w:t>
            </w:r>
          </w:p>
        </w:tc>
        <w:tc>
          <w:tcPr>
            <w:tcW w:w="84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ЗМБ</w:t>
            </w:r>
          </w:p>
        </w:tc>
        <w:tc>
          <w:tcPr>
            <w:tcW w:w="90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ЦОП</w:t>
            </w:r>
          </w:p>
        </w:tc>
      </w:tr>
      <w:tr>
        <w:trPr>
          <w:trHeight w:val="1" w:hRule="atLeast"/>
          <w:jc w:val="left"/>
        </w:trPr>
        <w:tc>
          <w:tcPr>
            <w:tcW w:w="19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Брой СУ</w:t>
            </w:r>
          </w:p>
        </w:tc>
        <w:tc>
          <w:tcPr>
            <w:tcW w:w="13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3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w:t>
            </w:r>
          </w:p>
        </w:tc>
        <w:tc>
          <w:tcPr>
            <w:tcW w:w="12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8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9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r>
      <w:tr>
        <w:trPr>
          <w:trHeight w:val="1" w:hRule="atLeast"/>
          <w:jc w:val="left"/>
        </w:trPr>
        <w:tc>
          <w:tcPr>
            <w:tcW w:w="19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Брой потребители</w:t>
            </w:r>
          </w:p>
        </w:tc>
        <w:tc>
          <w:tcPr>
            <w:tcW w:w="13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20</w:t>
            </w:r>
          </w:p>
        </w:tc>
        <w:tc>
          <w:tcPr>
            <w:tcW w:w="13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75</w:t>
            </w:r>
          </w:p>
        </w:tc>
        <w:tc>
          <w:tcPr>
            <w:tcW w:w="12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25</w:t>
            </w:r>
          </w:p>
        </w:tc>
        <w:tc>
          <w:tcPr>
            <w:tcW w:w="1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30</w:t>
            </w:r>
          </w:p>
        </w:tc>
        <w:tc>
          <w:tcPr>
            <w:tcW w:w="8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w:t>
            </w:r>
          </w:p>
        </w:tc>
        <w:tc>
          <w:tcPr>
            <w:tcW w:w="9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70</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374"/>
        <w:gridCol w:w="1913"/>
        <w:gridCol w:w="1732"/>
        <w:gridCol w:w="1169"/>
        <w:gridCol w:w="1212"/>
        <w:gridCol w:w="660"/>
      </w:tblGrid>
      <w:tr>
        <w:trPr>
          <w:trHeight w:val="1" w:hRule="atLeast"/>
          <w:jc w:val="left"/>
        </w:trPr>
        <w:tc>
          <w:tcPr>
            <w:tcW w:w="237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91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ЦНСТПЛФУ</w:t>
            </w:r>
          </w:p>
        </w:tc>
        <w:tc>
          <w:tcPr>
            <w:tcW w:w="173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ЦНСТПЛПР</w:t>
            </w:r>
          </w:p>
        </w:tc>
        <w:tc>
          <w:tcPr>
            <w:tcW w:w="116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ЗЖЛПР</w:t>
            </w:r>
          </w:p>
        </w:tc>
        <w:tc>
          <w:tcPr>
            <w:tcW w:w="121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ЗЖЛУИ</w:t>
            </w:r>
          </w:p>
        </w:tc>
        <w:tc>
          <w:tcPr>
            <w:tcW w:w="6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АП</w:t>
            </w:r>
          </w:p>
        </w:tc>
      </w:tr>
      <w:tr>
        <w:trPr>
          <w:trHeight w:val="1" w:hRule="atLeast"/>
          <w:jc w:val="left"/>
        </w:trPr>
        <w:tc>
          <w:tcPr>
            <w:tcW w:w="23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Брой СУ</w:t>
            </w:r>
          </w:p>
        </w:tc>
        <w:tc>
          <w:tcPr>
            <w:tcW w:w="19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7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1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w:t>
            </w:r>
          </w:p>
        </w:tc>
        <w:tc>
          <w:tcPr>
            <w:tcW w:w="12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6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r>
      <w:tr>
        <w:trPr>
          <w:trHeight w:val="1" w:hRule="atLeast"/>
          <w:jc w:val="left"/>
        </w:trPr>
        <w:tc>
          <w:tcPr>
            <w:tcW w:w="23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Брой потребители</w:t>
            </w:r>
          </w:p>
        </w:tc>
        <w:tc>
          <w:tcPr>
            <w:tcW w:w="19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15</w:t>
            </w:r>
          </w:p>
        </w:tc>
        <w:tc>
          <w:tcPr>
            <w:tcW w:w="17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15</w:t>
            </w:r>
          </w:p>
        </w:tc>
        <w:tc>
          <w:tcPr>
            <w:tcW w:w="11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20</w:t>
            </w:r>
          </w:p>
        </w:tc>
        <w:tc>
          <w:tcPr>
            <w:tcW w:w="12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8</w:t>
            </w:r>
          </w:p>
        </w:tc>
        <w:tc>
          <w:tcPr>
            <w:tcW w:w="6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139</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Търговище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Търговище е 33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312"/>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312"/>
              <w:ind w:right="0" w:left="0" w:firstLine="709"/>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312"/>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ЗЖЛПР</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312"/>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312"/>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Асистентска подкрепа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312"/>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Търговище,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Търговище, от други общини е 61.</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ЗЖПЛПР</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ДЦПЛУ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ЦНСТМУ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ЦНСТДБУ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ЦНСТПЛФУ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ЦСРИПЛ</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ЦСРИДМ</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ЗМБ</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ЦНСТДУППМГ</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bl>
    <w:p>
      <w:pPr>
        <w:spacing w:before="0" w:after="0" w:line="312"/>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Търговище за последните 5 години</w:t>
      </w:r>
    </w:p>
    <w:p>
      <w:pPr>
        <w:spacing w:before="0" w:after="0" w:line="312"/>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Продължава неблагоприятната тенденция за намаляване броя на населението и в община Търговище в резултат на демографски и миграционни процеси. Ниската раждаемост в следствие на социално-икономически условия, миграция и брой на жените във фертилна възраст е един от факторите за тези процеси. Същевременно смъртността в общината е със стойности, по-високи от тези за страната. Засилва се тенденцията за увеличаване на градското население, което е особено концентрирано в гр. Търговище, за сметка на намаляване на населението по селата. Естествения прираст за общината е отрицателен за последните пет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tabs>
          <w:tab w:val="left" w:pos="1883"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предоставените данни за наличните социални услуги на територията на община Търговище е видно, че те са обезпечени със служители, необходими за предоставяне на съответните услуги. При някои социални услуги е необходимо увеличаване на щатните бройки (общо 16) за достигане до минималните изисквания в стандартите за качество по НКСУ, но поради недостатъчно висок финансов стандарт това не е реализирано.</w:t>
      </w:r>
    </w:p>
    <w:p>
      <w:pPr>
        <w:keepNext w:val="true"/>
        <w:numPr>
          <w:ilvl w:val="0"/>
          <w:numId w:val="5512"/>
        </w:numPr>
        <w:tabs>
          <w:tab w:val="left" w:pos="718" w:leader="none"/>
        </w:tabs>
        <w:spacing w:before="360" w:after="120" w:line="240"/>
        <w:ind w:right="0" w:left="718"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АНАЛИЗ НА ПОТРЕБНОСТИТЕ В ОБЛАСТ ТЪРГОВИЩЕ (обобщено)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обобщени за област Търговище по общини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общините от област Търговище информацията за населението критериите съгласно Наредбата за планиране на социалните услуги е получена от ГРАО, НСИ, НОИ, ТСБ-Североизток, РЗИ-Търговище, РУО-Търговище, ДБТ, ДСП, МКБППМН, НПО, общинска администрация, социални услуги, болнични заведения и др.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област Търговище е 112 920 жители, от тях 23 793 деца до 18-годишна възраст. Общия брой на лицата с трайни увреждания е 10 293, от тях деца 473.</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областта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социалните услуги на територията на област Търговище е 32 с 819 потребители. Броят на социалните услуги за пълнолетни лица е 19, с 531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за деца са 13 със 288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графиките е видно, че на територията на областта преобладава резидентна грижа (ЦНСТ, ЗЖ) - 16 услуги за 172 потребители, дневна грижа (ДЦ, ЦСРИ, ЦОП, ЗМБ)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10 </w:t>
      </w:r>
      <w:r>
        <w:rPr>
          <w:rFonts w:ascii="Times New Roman" w:hAnsi="Times New Roman" w:cs="Times New Roman" w:eastAsia="Times New Roman"/>
          <w:color w:val="auto"/>
          <w:spacing w:val="0"/>
          <w:position w:val="0"/>
          <w:sz w:val="24"/>
          <w:shd w:fill="auto" w:val="clear"/>
        </w:rPr>
        <w:t xml:space="preserve">услуги за 309 потребители, услугите в домашна среда (АП)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5 </w:t>
      </w:r>
      <w:r>
        <w:rPr>
          <w:rFonts w:ascii="Times New Roman" w:hAnsi="Times New Roman" w:cs="Times New Roman" w:eastAsia="Times New Roman"/>
          <w:color w:val="auto"/>
          <w:spacing w:val="0"/>
          <w:position w:val="0"/>
          <w:sz w:val="24"/>
          <w:shd w:fill="auto" w:val="clear"/>
        </w:rPr>
        <w:t xml:space="preserve">услуги за 317 потребители, услугите в специализирани институции за пълнолетни лица (ДСХ) - 1 услуга за 21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36"/>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графиката са представени социалните услуги по чл. 15 от ЗСУ, които са релевантни на функциониращите, към момента на изготвяне на Анализа от община Търговище, социални услуги, финансирани от държавния бюджет, и находящи се на нейна територия. </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област Търговище</w:t>
      </w:r>
    </w:p>
    <w:tbl>
      <w:tblPr/>
      <w:tblGrid>
        <w:gridCol w:w="4037"/>
        <w:gridCol w:w="5023"/>
      </w:tblGrid>
      <w:tr>
        <w:trPr>
          <w:trHeight w:val="1" w:hRule="atLeast"/>
          <w:jc w:val="left"/>
        </w:trPr>
        <w:tc>
          <w:tcPr>
            <w:tcW w:w="403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02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Асистентска подкрепа</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125</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ЦНСТПЛУИ</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ЗЖЛПР</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Общо</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138</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Общо 138 лица са включени в списъците на чакащите за ползване на социални услуги в териториалния обхват на област Търговище. Голям е броя на лицата за включване в Асистентска подкрепа.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област Търговище, различна от  общината по настоящ адрес</w:t>
      </w:r>
    </w:p>
    <w:p>
      <w:pPr>
        <w:spacing w:before="0" w:after="0" w:line="312"/>
        <w:ind w:right="0" w:left="0" w:firstLine="709"/>
        <w:jc w:val="both"/>
        <w:rPr>
          <w:rFonts w:ascii="Times New Roman" w:hAnsi="Times New Roman" w:cs="Times New Roman" w:eastAsia="Times New Roman"/>
          <w:i/>
          <w:color w:val="auto"/>
          <w:spacing w:val="0"/>
          <w:position w:val="0"/>
          <w:sz w:val="24"/>
          <w:shd w:fill="auto" w:val="clear"/>
        </w:rPr>
      </w:pPr>
    </w:p>
    <w:p>
      <w:pPr>
        <w:spacing w:before="0" w:after="0" w:line="312"/>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312"/>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и интегрирани здравно-социални услуги на територията на област Търговище, различна от общината по настоящ адрес е 138. Най-голям е техният брой в социалните услуги на територията на общините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Попово, Омуртаг, Търговище, следвани от общините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Опака и Антоново.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Впечатление прави, че потребителите на услугите в по-голямата част са от общините на територията на областта.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област Търговище за последните 5 години</w:t>
      </w:r>
    </w:p>
    <w:p>
      <w:pPr>
        <w:spacing w:before="0" w:after="0" w:line="312"/>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Анализа на данните на демографското развитие в област Търговище за периода 2021- 2017 г. показва тенденция към намаление на броя на населението във всички общини.</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Във всички общини се отчита ниска раждаемост с тенденция към намаление, висока смъртност и отрицателен естествен прираст. Прогресивно намаляване на относителния дял на лицата в трудоспособна възраст. Устойчива тенденция към емиграция и обезлюдяване. Засилва се тенденцията за увеличаване на градското население, което е особено концентрирано в гр. Търговище, за сметка на намаляване на населението по селата.</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tabs>
          <w:tab w:val="left" w:pos="1883"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предоставените данни за наличните социални услуги на територията на областта е видно, че те са обезпечени със служители, необходими за предоставяне на съответните услуги. Изключение прави община Антоново, която не е наела необходимия персонал за осигуряване на добра грижа за потребителите на услугите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След трансформиране на услугите, съгласно Наредбата за качество на социалните услуги ще е необходимо да се увеличат щатните бройки в услугите, спрямо ново определените им капацитети по чл.15 от ЗСУ. Важна предпоставка за ефективност на социалните услуги е наличието на квалифициран и мотивиран персонал. Развитието и обучението на човешките ресурси в тази област е важна предпоставка за качествени услуги, които да съдействат за повишаване и качеството на живот на отделните индивиди, семейства и групи.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Търговище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Област Търговище цели осигуряване на разнообразни социални услуги за подкрепа на нуждаещите се лица за реализиране на правата им и подобряване на качеството им на живот. На база на гореизложената информация може да се направят следните изводи: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има голям брой, дори преобладават социалните услуги за резидентна грижа, включително се предоставят интегрирани здравно-социални услуги за деца, но броят им не е недостатъчен за задоволяване на потребностите на жителите на областта;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Голям е броя на лицата, които са заявили желание да ползват социалната услуга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Недостатъчен е броя на услугите за дневна и почасова грижа и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Необходимо е развитие на услугите в посока увеличаване на техния капацитет или създаване на нови такива.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5540"/>
        </w:numPr>
        <w:tabs>
          <w:tab w:val="left" w:pos="432" w:leader="none"/>
        </w:tabs>
        <w:spacing w:before="0" w:after="0" w:line="240"/>
        <w:ind w:right="0" w:left="432" w:hanging="432"/>
        <w:jc w:val="both"/>
        <w:rPr>
          <w:rFonts w:ascii="Times New Roman" w:hAnsi="Times New Roman" w:cs="Times New Roman" w:eastAsia="Times New Roman"/>
          <w:b/>
          <w:color w:val="003366"/>
          <w:spacing w:val="0"/>
          <w:position w:val="0"/>
          <w:sz w:val="36"/>
          <w:shd w:fill="auto" w:val="clear"/>
        </w:rPr>
      </w:pPr>
      <w:r>
        <w:rPr>
          <w:rFonts w:ascii="Times New Roman" w:hAnsi="Times New Roman" w:cs="Times New Roman" w:eastAsia="Times New Roman"/>
          <w:b/>
          <w:color w:val="003366"/>
          <w:spacing w:val="0"/>
          <w:position w:val="0"/>
          <w:sz w:val="36"/>
          <w:shd w:fill="auto" w:val="clear"/>
        </w:rPr>
        <w:t xml:space="preserve">ЮГОИЗТОЧЕН РЕГИОН</w:t>
      </w:r>
    </w:p>
    <w:p>
      <w:pPr>
        <w:keepNext w:val="true"/>
        <w:numPr>
          <w:ilvl w:val="0"/>
          <w:numId w:val="5540"/>
        </w:numPr>
        <w:tabs>
          <w:tab w:val="left" w:pos="718" w:leader="none"/>
        </w:tabs>
        <w:spacing w:before="0" w:after="0" w:line="240"/>
        <w:ind w:right="0" w:left="718" w:hanging="576"/>
        <w:jc w:val="both"/>
        <w:rPr>
          <w:rFonts w:ascii="Times New Roman" w:hAnsi="Times New Roman" w:cs="Times New Roman" w:eastAsia="Times New Roman"/>
          <w:b/>
          <w:color w:val="003366"/>
          <w:spacing w:val="0"/>
          <w:position w:val="0"/>
          <w:sz w:val="28"/>
          <w:shd w:fill="auto" w:val="clear"/>
        </w:rPr>
      </w:pPr>
      <w:r>
        <w:rPr>
          <w:rFonts w:ascii="Times New Roman" w:hAnsi="Times New Roman" w:cs="Times New Roman" w:eastAsia="Times New Roman"/>
          <w:b/>
          <w:color w:val="003366"/>
          <w:spacing w:val="0"/>
          <w:position w:val="0"/>
          <w:sz w:val="28"/>
          <w:shd w:fill="auto" w:val="clear"/>
        </w:rPr>
        <w:t xml:space="preserve">ОБЛАСТ БУРГАС</w:t>
      </w:r>
    </w:p>
    <w:p>
      <w:pPr>
        <w:keepNext w:val="true"/>
        <w:numPr>
          <w:ilvl w:val="0"/>
          <w:numId w:val="5540"/>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АЙТОС</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процеса на изготвяне на анализа на община Айтос са използвани следните източници за събиране на информация: анализи, доклади, стратегически документи на национално и местно ниво; статистически бази-данни, ТСБ на НСИ. показателите в общината по критериите за социални и интегрирани здравно-социални услуги към 31.12.2022 г.; ГРАО; ДСП; ДБТ; звената отговорни за социални, образователни, хуманитарни дейности и др.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Айтос, към 31.12.2021 г. е 31 827 жители, от тях 7 015 деца до 18-годишна възраст (22%). Общия брой на лицата с трайни увреждания е 1 714, от тях деца 84 (4,9%).</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Айтос са разкрити 5 социални услуги, като всички функционират в гр. Айтос. Общият капацитет на услугите е за 140 потребители, в т.ч. 53 асистентска подкрепа и 32 в Дом за стари хора.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277"/>
        <w:gridCol w:w="1665"/>
        <w:gridCol w:w="1604"/>
        <w:gridCol w:w="1595"/>
        <w:gridCol w:w="1069"/>
        <w:gridCol w:w="850"/>
      </w:tblGrid>
      <w:tr>
        <w:trPr>
          <w:trHeight w:val="1" w:hRule="atLeast"/>
          <w:jc w:val="left"/>
        </w:trPr>
        <w:tc>
          <w:tcPr>
            <w:tcW w:w="227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66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160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159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106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85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227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6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60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9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06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27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6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160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59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106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32</w:t>
            </w:r>
          </w:p>
        </w:tc>
        <w:tc>
          <w:tcPr>
            <w:tcW w:w="8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53</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Айтос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Айтос е 47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204"/>
        <w:gridCol w:w="4856"/>
      </w:tblGrid>
      <w:tr>
        <w:trPr>
          <w:trHeight w:val="1" w:hRule="atLeast"/>
          <w:jc w:val="left"/>
        </w:trPr>
        <w:tc>
          <w:tcPr>
            <w:tcW w:w="420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485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420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ЗЖЛУИ</w:t>
            </w:r>
          </w:p>
        </w:tc>
        <w:tc>
          <w:tcPr>
            <w:tcW w:w="485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29</w:t>
            </w:r>
          </w:p>
        </w:tc>
      </w:tr>
      <w:tr>
        <w:trPr>
          <w:trHeight w:val="1" w:hRule="atLeast"/>
          <w:jc w:val="left"/>
        </w:trPr>
        <w:tc>
          <w:tcPr>
            <w:tcW w:w="420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485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420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ДЦПЛУ</w:t>
            </w:r>
          </w:p>
        </w:tc>
        <w:tc>
          <w:tcPr>
            <w:tcW w:w="485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20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c>
          <w:tcPr>
            <w:tcW w:w="485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Айтос,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общия капацитет на разкритите социални и здравно-социални услуги, делегирани от държавата дейности  на територията на община Айтос от други общини са общо 23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907"/>
        <w:gridCol w:w="5153"/>
      </w:tblGrid>
      <w:tr>
        <w:trPr>
          <w:trHeight w:val="1" w:hRule="atLeast"/>
          <w:jc w:val="left"/>
        </w:trPr>
        <w:tc>
          <w:tcPr>
            <w:tcW w:w="390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Вид СУ</w:t>
            </w:r>
          </w:p>
        </w:tc>
        <w:tc>
          <w:tcPr>
            <w:tcW w:w="515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39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ЗЖЛУИ</w:t>
            </w:r>
          </w:p>
        </w:tc>
        <w:tc>
          <w:tcPr>
            <w:tcW w:w="515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r>
        <w:trPr>
          <w:trHeight w:val="1" w:hRule="atLeast"/>
          <w:jc w:val="left"/>
        </w:trPr>
        <w:tc>
          <w:tcPr>
            <w:tcW w:w="39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515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r>
    </w:tbl>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Айтос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графиката се наблюдава постепенно намаляване на стойностите при раждаемостта в сравнение с предходни периоди, обект на анализа. Причината е от засилените миграционни процеси в репродуктивна възраст. Смъртността е на нивата на средните за страната, което обяснява отрицателния естествен прираст в общината. Населението на община Айтос има регресивен тип възрастова структура на населението и е по-слабо изразено в сравнение със средните стойности за страната.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предоставените данни за наличните социални услуги на територията на община Айтос е видно, че са налице 3 незаети щатни бройки.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съпоставка на данните за брой на назначени служители и брой незаети длъжности към момента на извършването на анализа по утвърдените щатни разписания във всяка услуга, както и въз основа на определените минимални изисквания в стандартите за качество на социалните услуги, касаещи броя и квалификацията на необходимите служители, е изведен прогнозен брой -6 служители с оглед на оптимално функциониране на социалните и интегрираните здравно-социални услуги. По информация на ДБТ регистрираните безработни лица с образование в областта на хуманитарните науки са 2 лица, в областта на здравеопазване 3 лица, а тези с предишен опит в сферата на предоставянето на социални услуги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32 </w:t>
      </w:r>
      <w:r>
        <w:rPr>
          <w:rFonts w:ascii="Times New Roman" w:hAnsi="Times New Roman" w:cs="Times New Roman" w:eastAsia="Times New Roman"/>
          <w:color w:val="auto"/>
          <w:spacing w:val="0"/>
          <w:position w:val="0"/>
          <w:sz w:val="24"/>
          <w:shd w:fill="auto" w:val="clear"/>
        </w:rPr>
        <w:t xml:space="preserve">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5575"/>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БУРГАС</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 на анализа за община Бургас са използвана следните източници: НСИ, ДСП, РЗИ, ДБТ, Териториални поделения на НОИ, РУО на МОН, общинска администрация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ГРАО, отдел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Закрила на детето”; данни, документация и експертиза на доставчиците на услуги за действащите социални услуги в общината; други институции, които разполагат с информация за състоянието на свързаните сектори със социалните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Анализът обхваща периода 2017-2021 година. По данни на община Бургас общият брой на населението, към 31.12.2021 г. е 204 804 жители, от тях 38 801 деца до 18-годишна възраст (18,9 %). Общия брой на лицата с трайни увреждания е 11 455, от тях деца 754 (6,6 %).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Бургас са разкрити 29 социални услуги и всичките функционират на територията на гр. Бургас. Общият капацитет на социалните услуги е за 973 потребители, в т.ч. 355 асистентска подкрепа и 32 в Дом за стари хора.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656"/>
        <w:gridCol w:w="1210"/>
        <w:gridCol w:w="1165"/>
        <w:gridCol w:w="1557"/>
        <w:gridCol w:w="1357"/>
        <w:gridCol w:w="1312"/>
        <w:gridCol w:w="803"/>
      </w:tblGrid>
      <w:tr>
        <w:trPr>
          <w:trHeight w:val="1" w:hRule="atLeast"/>
          <w:jc w:val="left"/>
        </w:trPr>
        <w:tc>
          <w:tcPr>
            <w:tcW w:w="165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21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116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155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ДЦПЛТМУ</w:t>
            </w:r>
          </w:p>
        </w:tc>
        <w:tc>
          <w:tcPr>
            <w:tcW w:w="135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ЦСРИДМ</w:t>
            </w:r>
          </w:p>
        </w:tc>
        <w:tc>
          <w:tcPr>
            <w:tcW w:w="131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ЦСРИПЛ</w:t>
            </w:r>
          </w:p>
        </w:tc>
        <w:tc>
          <w:tcPr>
            <w:tcW w:w="80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r>
      <w:tr>
        <w:trPr>
          <w:trHeight w:val="1" w:hRule="atLeast"/>
          <w:jc w:val="left"/>
        </w:trPr>
        <w:tc>
          <w:tcPr>
            <w:tcW w:w="165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21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6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3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3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c>
          <w:tcPr>
            <w:tcW w:w="8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65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21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c>
          <w:tcPr>
            <w:tcW w:w="116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5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3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c>
          <w:tcPr>
            <w:tcW w:w="13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120</w:t>
            </w:r>
          </w:p>
        </w:tc>
        <w:tc>
          <w:tcPr>
            <w:tcW w:w="8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100</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731"/>
        <w:gridCol w:w="1527"/>
        <w:gridCol w:w="1609"/>
        <w:gridCol w:w="1801"/>
        <w:gridCol w:w="817"/>
        <w:gridCol w:w="629"/>
        <w:gridCol w:w="946"/>
      </w:tblGrid>
      <w:tr>
        <w:trPr>
          <w:trHeight w:val="1" w:hRule="atLeast"/>
          <w:jc w:val="left"/>
        </w:trPr>
        <w:tc>
          <w:tcPr>
            <w:tcW w:w="173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52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160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180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81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ЦВН</w:t>
            </w:r>
          </w:p>
        </w:tc>
        <w:tc>
          <w:tcPr>
            <w:tcW w:w="62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КЦ</w:t>
            </w:r>
          </w:p>
        </w:tc>
        <w:tc>
          <w:tcPr>
            <w:tcW w:w="9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ЦРДУ</w:t>
            </w:r>
          </w:p>
        </w:tc>
      </w:tr>
      <w:tr>
        <w:trPr>
          <w:trHeight w:val="1" w:hRule="atLeast"/>
          <w:jc w:val="left"/>
        </w:trPr>
        <w:tc>
          <w:tcPr>
            <w:tcW w:w="173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5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16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18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6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73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5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44</w:t>
            </w:r>
          </w:p>
        </w:tc>
        <w:tc>
          <w:tcPr>
            <w:tcW w:w="16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56</w:t>
            </w:r>
          </w:p>
        </w:tc>
        <w:tc>
          <w:tcPr>
            <w:tcW w:w="18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66</w:t>
            </w: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6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9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bl>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tbl>
      <w:tblPr/>
      <w:tblGrid>
        <w:gridCol w:w="3436"/>
        <w:gridCol w:w="1749"/>
        <w:gridCol w:w="1749"/>
        <w:gridCol w:w="1171"/>
        <w:gridCol w:w="955"/>
      </w:tblGrid>
      <w:tr>
        <w:trPr>
          <w:trHeight w:val="1" w:hRule="atLeast"/>
          <w:jc w:val="left"/>
        </w:trPr>
        <w:tc>
          <w:tcPr>
            <w:tcW w:w="343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74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ЗЖЛПР</w:t>
            </w:r>
          </w:p>
        </w:tc>
        <w:tc>
          <w:tcPr>
            <w:tcW w:w="174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117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95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34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СУ</w:t>
            </w:r>
          </w:p>
        </w:tc>
        <w:tc>
          <w:tcPr>
            <w:tcW w:w="17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1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5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4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потребители</w:t>
            </w:r>
          </w:p>
        </w:tc>
        <w:tc>
          <w:tcPr>
            <w:tcW w:w="17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7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11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32</w:t>
            </w:r>
          </w:p>
        </w:tc>
        <w:tc>
          <w:tcPr>
            <w:tcW w:w="95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355</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Бургас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Бургас е 298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ЦНСТДМУ</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ЦНСТПЛУИ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73</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ЗЖЛПР</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124</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ЗЖЛУИ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74</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Бургас,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Бургас, от други общини е 58.</w:t>
      </w:r>
    </w:p>
    <w:tbl>
      <w:tblPr/>
      <w:tblGrid>
        <w:gridCol w:w="3463"/>
        <w:gridCol w:w="5597"/>
      </w:tblGrid>
      <w:tr>
        <w:trPr>
          <w:trHeight w:val="1" w:hRule="atLeast"/>
          <w:jc w:val="left"/>
        </w:trPr>
        <w:tc>
          <w:tcPr>
            <w:tcW w:w="346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559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346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5597"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w:t>
            </w:r>
          </w:p>
        </w:tc>
      </w:tr>
      <w:tr>
        <w:trPr>
          <w:trHeight w:val="1" w:hRule="atLeast"/>
          <w:jc w:val="left"/>
        </w:trPr>
        <w:tc>
          <w:tcPr>
            <w:tcW w:w="346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ЦВН</w:t>
            </w:r>
          </w:p>
        </w:tc>
        <w:tc>
          <w:tcPr>
            <w:tcW w:w="5597"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r>
        <w:trPr>
          <w:trHeight w:val="1" w:hRule="atLeast"/>
          <w:jc w:val="left"/>
        </w:trPr>
        <w:tc>
          <w:tcPr>
            <w:tcW w:w="346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ЦСРИПЛ</w:t>
            </w:r>
          </w:p>
        </w:tc>
        <w:tc>
          <w:tcPr>
            <w:tcW w:w="5597"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r>
        <w:trPr>
          <w:trHeight w:val="1" w:hRule="atLeast"/>
          <w:jc w:val="left"/>
        </w:trPr>
        <w:tc>
          <w:tcPr>
            <w:tcW w:w="346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КЦ</w:t>
            </w:r>
          </w:p>
        </w:tc>
        <w:tc>
          <w:tcPr>
            <w:tcW w:w="5597"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346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ДЦЛУ</w:t>
            </w:r>
          </w:p>
        </w:tc>
        <w:tc>
          <w:tcPr>
            <w:tcW w:w="5597"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46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5597"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Бургас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Бургас запазва стабилни демографски показатели за последните години. Естественият прираст в общината е по-висок от средния за страната и областта. Наблюдава се отрицателен механичен прираст с увеличаващ се дял на миграция на население в млада възраст с цел придобиване на висше образование. В същото време общината привлича население в активна възраст от Югоизточния район. Налице е дисбаланс във възрастовата структура на населението. Наблюдава се и устойчива тенденция на повишаване на коефициента на демографско заместване, което е добър знак за заключен демографски потенциал в подрастващото население. Устойчив е делът на населението в трудоспособна възраст.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Благоприятна е образователна структура на фона на националното равнище, но с по-нисък относителен дял на населението с висше образование в сравнение с останалите големи градове в страната.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Персоналът в социалните услуги на територията на община Бургас е с необходимата квалификация и дългогодишен опит в предоставянето на социални услуги. Прилагат се ефективни системи за управление на служителите, подходящи мерки за професионална подкрепа и личностно развитие.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 брой на служителите в социалните услуги по щатно разписание е 246. Назначения персонал е 242 служители. Налице са 4 незаети щатни длъжности в социалните услуги, функциониращи на територията на община Бургас.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ДБТ лицата регистрирани като безработни с медицинско образование са 34, лицата с хуманитарно образование са 96, лицата с предишен опит в предоставянето на социални услуги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144. </w:t>
      </w:r>
      <w:r>
        <w:rPr>
          <w:rFonts w:ascii="Times New Roman" w:hAnsi="Times New Roman" w:cs="Times New Roman" w:eastAsia="Times New Roman"/>
          <w:color w:val="auto"/>
          <w:spacing w:val="0"/>
          <w:position w:val="0"/>
          <w:sz w:val="24"/>
          <w:shd w:fill="auto" w:val="clear"/>
        </w:rPr>
        <w:t xml:space="preserve">В Община Бургас съществуват два университета: Бургаски свободен университет и Университет "Проф. д-р Асен Златаров", от които могат да бъдат наемани специалисти за работа в социалните услуги. Студентите се подготвят по специалности с образователно-квалификационна степен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Бакалавър” и специалности с образователно-квалификационна степен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Магистър”. Те се дипломират като професионални кадри в областта на хуманитарните науки като психология, социални дейности и консултиране, специална педагогика, социална психология. Има създаден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Медицински факултет“, където се обучават и студенти по специалност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Медицина“. Традиционно се обучават и професионални бакалаври по специалностите: рехабилитация, медицинска сестра. Всички те намират трудова реализация в социалните услуги на територията на Община Бургас.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Бургас не е извела прогнозна потребност за необходимия персонал за функциониране на социалните услуги след трансформирането на съществуващите социални услуги и декомпозирането им по дейности, съгласно чл.15 от Закон за социалните услуги, както и въз основа на определените минимални изисквания в стандартите за качество на социалните услуги, касаещи броя и квалификацията на необходимите служители.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5644"/>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КАМЕНО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Камено информацията за анализа е получена от НСИ, ДСП, ДБТ, ГРАО, данни за здравнонеосигурени лица, получени от общопрактикуващите лекари в общината и експертиза на доставчиците на услуги за действащите социални услуги в общината.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Камено, към 31.12.2021 г. е 10 609 жители, от тях 2 358 деца до 18-годишна възраст (22,2%). Общия брой на лицата с трайни увреждания е 731, от тях деца 28 (3,8%).</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Камено функционират две социални услуги Дом за пълнолетни лица с умствена изостаналост, който се намира в с. Русокастро, с капацитет 157 и Асистентска подкрепа в гр. Камено с капацитет 27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5334"/>
        <w:gridCol w:w="2434"/>
        <w:gridCol w:w="1292"/>
      </w:tblGrid>
      <w:tr>
        <w:trPr>
          <w:trHeight w:val="1" w:hRule="atLeast"/>
          <w:jc w:val="left"/>
        </w:trPr>
        <w:tc>
          <w:tcPr>
            <w:tcW w:w="533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43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ДПЛУИ</w:t>
            </w:r>
          </w:p>
        </w:tc>
        <w:tc>
          <w:tcPr>
            <w:tcW w:w="129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533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4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533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4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130</w:t>
            </w:r>
          </w:p>
        </w:tc>
        <w:tc>
          <w:tcPr>
            <w:tcW w:w="12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27</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Камено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405"/>
        <w:gridCol w:w="5655"/>
      </w:tblGrid>
      <w:tr>
        <w:trPr>
          <w:trHeight w:val="1" w:hRule="atLeast"/>
          <w:jc w:val="left"/>
        </w:trPr>
        <w:tc>
          <w:tcPr>
            <w:tcW w:w="340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Социална услуга</w:t>
            </w:r>
          </w:p>
        </w:tc>
        <w:tc>
          <w:tcPr>
            <w:tcW w:w="565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желаещи да ползват СУ</w:t>
            </w:r>
          </w:p>
        </w:tc>
      </w:tr>
      <w:tr>
        <w:trPr>
          <w:trHeight w:val="1" w:hRule="atLeast"/>
          <w:jc w:val="left"/>
        </w:trPr>
        <w:tc>
          <w:tcPr>
            <w:tcW w:w="340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ДПЛУИ</w:t>
            </w:r>
          </w:p>
        </w:tc>
        <w:tc>
          <w:tcPr>
            <w:tcW w:w="565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54</w:t>
            </w:r>
          </w:p>
        </w:tc>
      </w:tr>
      <w:tr>
        <w:trPr>
          <w:trHeight w:val="1" w:hRule="atLeast"/>
          <w:jc w:val="left"/>
        </w:trPr>
        <w:tc>
          <w:tcPr>
            <w:tcW w:w="340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65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bl>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Камено,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Камено, от други общини е 89</w:t>
      </w:r>
      <w:r>
        <w:rPr>
          <w:rFonts w:ascii="Times New Roman" w:hAnsi="Times New Roman" w:cs="Times New Roman" w:eastAsia="Times New Roman"/>
          <w:i/>
          <w:color w:val="auto"/>
          <w:spacing w:val="0"/>
          <w:position w:val="0"/>
          <w:sz w:val="24"/>
          <w:shd w:fill="auto" w:val="clear"/>
        </w:rPr>
        <w:t xml:space="preserve">.</w:t>
      </w:r>
    </w:p>
    <w:tbl>
      <w:tblPr/>
      <w:tblGrid>
        <w:gridCol w:w="3675"/>
        <w:gridCol w:w="5385"/>
      </w:tblGrid>
      <w:tr>
        <w:trPr>
          <w:trHeight w:val="1" w:hRule="atLeast"/>
          <w:jc w:val="left"/>
        </w:trPr>
        <w:tc>
          <w:tcPr>
            <w:tcW w:w="367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Вид СУ</w:t>
            </w:r>
          </w:p>
        </w:tc>
        <w:tc>
          <w:tcPr>
            <w:tcW w:w="538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потребители от други общини</w:t>
            </w:r>
          </w:p>
        </w:tc>
      </w:tr>
      <w:tr>
        <w:trPr>
          <w:trHeight w:val="283" w:hRule="auto"/>
          <w:jc w:val="left"/>
        </w:trPr>
        <w:tc>
          <w:tcPr>
            <w:tcW w:w="3675"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ДПЛУИ</w:t>
            </w:r>
          </w:p>
        </w:tc>
        <w:tc>
          <w:tcPr>
            <w:tcW w:w="5385"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79</w:t>
            </w:r>
          </w:p>
        </w:tc>
      </w:tr>
      <w:tr>
        <w:trPr>
          <w:trHeight w:val="283" w:hRule="auto"/>
          <w:jc w:val="left"/>
        </w:trPr>
        <w:tc>
          <w:tcPr>
            <w:tcW w:w="3675"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c>
          <w:tcPr>
            <w:tcW w:w="5385"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bl>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Камено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Видно от графиката по-горе населението в общината през последните 5 години нараства. Миграцията в общината е незначителна и числеността на заселените в общината компенсира населението, което я е напуснало. Отрицателния естествен прираст на населението се обуславя от ниската раждаемост.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настоящият момент всички щатни бройки в услугите са заети. Не се налага увеличение на щатните бройки на служителите след трансформирането на съществуващите социални услуги и декомпозирането им по дейности, съгласно чл.15 от Закон за социалните услуги, както и въз основа на определените минимални изисквания в стандартите за качество на социалните услуги, касаещи броя и квалификацията на необходимите служители.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5673"/>
        </w:numPr>
        <w:tabs>
          <w:tab w:val="left" w:pos="862" w:leader="none"/>
          <w:tab w:val="left" w:pos="1430" w:leader="none"/>
        </w:tabs>
        <w:spacing w:before="0" w:after="0" w:line="240"/>
        <w:ind w:right="0" w:left="0" w:firstLine="0"/>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КАРНОБАТ</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за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Карнобат информацията за настоящия анализ е изведена от: анализи, доклади, стратегически документи на национално, областно и местно ниво и от РДСП; НСИ, ГРАО, ДСП, Местна комисия за борба срещу противообществените прояви на малолетни и непълнолетни, РУ на МВР гр. Карнобат, данни и експертиза на доставчиците на услуги за действащите социални услуги в общината, училища, болници, лични лекари и пр., граждански организации и НПО.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Карнобат, към 31.12.2021 г. е 22 464 жители, от тях 4 001 деца до 18-годишна възраст (17,8%). Общия брой на лицата с трайни увреждания е 1 567, от тях деца 76 (4,8%).</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Карнобат са разкрити 11 социални услуги, от тях 7 се предоставят в гр. Карнобат, 3 бр. социални услуги в с. Искра и Дом за пълнолетни лица с деменция в с. Огнен. Общият капацитет на социалните услуги е за 277 потребители, в т.ч. 61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137"/>
        <w:gridCol w:w="1750"/>
        <w:gridCol w:w="1988"/>
        <w:gridCol w:w="1040"/>
        <w:gridCol w:w="2145"/>
      </w:tblGrid>
      <w:tr>
        <w:trPr>
          <w:trHeight w:val="1" w:hRule="atLeast"/>
          <w:jc w:val="left"/>
        </w:trPr>
        <w:tc>
          <w:tcPr>
            <w:tcW w:w="213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75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ЦСРИДМ</w:t>
            </w:r>
          </w:p>
        </w:tc>
        <w:tc>
          <w:tcPr>
            <w:tcW w:w="198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104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214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r>
      <w:tr>
        <w:trPr>
          <w:trHeight w:val="1" w:hRule="atLeast"/>
          <w:jc w:val="left"/>
        </w:trPr>
        <w:tc>
          <w:tcPr>
            <w:tcW w:w="21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7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9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0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1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1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7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9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28</w:t>
            </w:r>
          </w:p>
        </w:tc>
        <w:tc>
          <w:tcPr>
            <w:tcW w:w="10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28</w:t>
            </w:r>
          </w:p>
        </w:tc>
        <w:tc>
          <w:tcPr>
            <w:tcW w:w="21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bl>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tbl>
      <w:tblPr/>
      <w:tblGrid>
        <w:gridCol w:w="2484"/>
        <w:gridCol w:w="1652"/>
        <w:gridCol w:w="1400"/>
        <w:gridCol w:w="1439"/>
        <w:gridCol w:w="1176"/>
        <w:gridCol w:w="909"/>
      </w:tblGrid>
      <w:tr>
        <w:trPr>
          <w:trHeight w:val="1" w:hRule="atLeast"/>
          <w:jc w:val="left"/>
        </w:trPr>
        <w:tc>
          <w:tcPr>
            <w:tcW w:w="248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5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ЦНСТПЛУИ</w:t>
            </w:r>
          </w:p>
        </w:tc>
        <w:tc>
          <w:tcPr>
            <w:tcW w:w="14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ЦСРИПЛ</w:t>
            </w:r>
          </w:p>
        </w:tc>
        <w:tc>
          <w:tcPr>
            <w:tcW w:w="143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ДПЛД</w:t>
            </w:r>
          </w:p>
        </w:tc>
        <w:tc>
          <w:tcPr>
            <w:tcW w:w="117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ЗЖЛУИ</w:t>
            </w:r>
          </w:p>
        </w:tc>
        <w:tc>
          <w:tcPr>
            <w:tcW w:w="90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left"/>
        </w:trPr>
        <w:tc>
          <w:tcPr>
            <w:tcW w:w="2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СУ</w:t>
            </w:r>
          </w:p>
        </w:tc>
        <w:tc>
          <w:tcPr>
            <w:tcW w:w="16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4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потребители</w:t>
            </w:r>
          </w:p>
        </w:tc>
        <w:tc>
          <w:tcPr>
            <w:tcW w:w="16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4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4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45</w:t>
            </w:r>
          </w:p>
        </w:tc>
        <w:tc>
          <w:tcPr>
            <w:tcW w:w="11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9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61</w:t>
            </w:r>
          </w:p>
        </w:tc>
      </w:tr>
    </w:tbl>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 социални услуги на територията на община Карнобат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Карнобат е 68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tbl>
      <w:tblPr/>
      <w:tblGrid>
        <w:gridCol w:w="3637"/>
        <w:gridCol w:w="5423"/>
      </w:tblGrid>
      <w:tr>
        <w:trPr>
          <w:trHeight w:val="1" w:hRule="atLeast"/>
          <w:jc w:val="left"/>
        </w:trPr>
        <w:tc>
          <w:tcPr>
            <w:tcW w:w="363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42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6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ЦНСТПЛПР</w:t>
            </w:r>
          </w:p>
        </w:tc>
        <w:tc>
          <w:tcPr>
            <w:tcW w:w="54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33</w:t>
            </w:r>
          </w:p>
        </w:tc>
      </w:tr>
      <w:tr>
        <w:trPr>
          <w:trHeight w:val="1" w:hRule="atLeast"/>
          <w:jc w:val="left"/>
        </w:trPr>
        <w:tc>
          <w:tcPr>
            <w:tcW w:w="36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ЦНСТПЛУИ</w:t>
            </w:r>
          </w:p>
        </w:tc>
        <w:tc>
          <w:tcPr>
            <w:tcW w:w="54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w:t>
            </w:r>
          </w:p>
        </w:tc>
      </w:tr>
      <w:tr>
        <w:trPr>
          <w:trHeight w:val="1" w:hRule="atLeast"/>
          <w:jc w:val="left"/>
        </w:trPr>
        <w:tc>
          <w:tcPr>
            <w:tcW w:w="36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c>
          <w:tcPr>
            <w:tcW w:w="54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r>
    </w:tbl>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Карнобат, различна от  общината по настоящ адрес</w:t>
      </w:r>
    </w:p>
    <w:tbl>
      <w:tblPr/>
      <w:tblGrid>
        <w:gridCol w:w="3876"/>
        <w:gridCol w:w="4879"/>
      </w:tblGrid>
      <w:tr>
        <w:trPr>
          <w:trHeight w:val="1" w:hRule="atLeast"/>
          <w:jc w:val="left"/>
        </w:trPr>
        <w:tc>
          <w:tcPr>
            <w:tcW w:w="387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87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3876"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ЦНСТДМУ</w:t>
            </w:r>
          </w:p>
        </w:tc>
        <w:tc>
          <w:tcPr>
            <w:tcW w:w="4879"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r>
      <w:tr>
        <w:trPr>
          <w:trHeight w:val="1" w:hRule="atLeast"/>
          <w:jc w:val="left"/>
        </w:trPr>
        <w:tc>
          <w:tcPr>
            <w:tcW w:w="3876"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ЦНСТПЛУИ</w:t>
            </w:r>
          </w:p>
        </w:tc>
        <w:tc>
          <w:tcPr>
            <w:tcW w:w="4879"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w:t>
            </w:r>
          </w:p>
        </w:tc>
      </w:tr>
      <w:tr>
        <w:trPr>
          <w:trHeight w:val="1" w:hRule="atLeast"/>
          <w:jc w:val="left"/>
        </w:trPr>
        <w:tc>
          <w:tcPr>
            <w:tcW w:w="3876"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ЦНСТПЛПР</w:t>
            </w:r>
          </w:p>
        </w:tc>
        <w:tc>
          <w:tcPr>
            <w:tcW w:w="4879"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r>
      <w:tr>
        <w:trPr>
          <w:trHeight w:val="1" w:hRule="atLeast"/>
          <w:jc w:val="left"/>
        </w:trPr>
        <w:tc>
          <w:tcPr>
            <w:tcW w:w="3876"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ЗЖЛУИ</w:t>
            </w:r>
          </w:p>
        </w:tc>
        <w:tc>
          <w:tcPr>
            <w:tcW w:w="4879"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r>
      <w:tr>
        <w:trPr>
          <w:trHeight w:val="1" w:hRule="atLeast"/>
          <w:jc w:val="left"/>
        </w:trPr>
        <w:tc>
          <w:tcPr>
            <w:tcW w:w="3876"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ДПЛД</w:t>
            </w:r>
          </w:p>
        </w:tc>
        <w:tc>
          <w:tcPr>
            <w:tcW w:w="4879"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27</w:t>
            </w:r>
          </w:p>
        </w:tc>
      </w:tr>
      <w:tr>
        <w:trPr>
          <w:trHeight w:val="1" w:hRule="atLeast"/>
          <w:jc w:val="left"/>
        </w:trPr>
        <w:tc>
          <w:tcPr>
            <w:tcW w:w="3876"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4879"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Карнобат, от други общини е 99.</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Карнобат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През последните години, видно от графиката, се наблюдава трайна тенденция към влошаване на демографската структура: ниска раждаемост и висока смъртност, миграция на младежи и хора в трудоспособна възраст, водещи до намаляване броя на населението на община Карнобат, което е в съответствие с тенденциите в демографското развитие на страната и област Бургас. Раждаемостта в общината намалява през наблюдавания период 2017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2022 </w:t>
      </w:r>
      <w:r>
        <w:rPr>
          <w:rFonts w:ascii="Times New Roman" w:hAnsi="Times New Roman" w:cs="Times New Roman" w:eastAsia="Times New Roman"/>
          <w:color w:val="auto"/>
          <w:spacing w:val="0"/>
          <w:position w:val="0"/>
          <w:sz w:val="24"/>
          <w:shd w:fill="auto" w:val="clear"/>
        </w:rPr>
        <w:t xml:space="preserve">г. Факторите, които влияние върху числеността на населението в общината са раждаемост и смъртност, вътрешната и външната миграция. В града темпът на намаляване на населението е по- голям в сравнение със селата. Динамиката на икономическите процеси, протичащи в страната обясняват механичното движение на населението, а именно промяна на местоживеенето.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момента на изготвяне на анализа незаетите длъжности в социалните услуги са 19, като това са основни специалисти: социални работници, психолози, и логопеди. Причините за това са липса на квалифицирани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предоставената информация от ДБТ могат да се изведат следните заключения: Сред безработните лица с висше образование няма кадри с квалификация в социалната сфера, където са основните незаети позиции. Сред безработните лица със средно образование има интерес за заемане на длъжности пряко свързани с обслужването на потребителите. Представители от тази група безработни лица са активни в търсенето на работа, което е предпоставка да се удовлетворяват бързо непосредствено възникналите потребности.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Карнобат не е извела прогнозна потребност за необходимия персонал за функциониране на социалните услуги след трансформирането на съществуващите социални услуги и декомпозирането им по дейности, съгласно чл.15 от Закон за социалните услуги, както и въз основа на определените минимални изисквания в стандартите за качество на социалните услуги, касаещи броя и квалификацията на необходимите служители.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5729"/>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МАЛКО ТЪРНОВО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за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Малко Търново информацията е събрана от документално проучване на съществуващи анализи, доклади, стратегически документи на национално, областно и местно ниво и от РДСП, РУО на МОН, РЗИ, ДБТ, ГРАО и отделите, отговорни за социални, образователни и хуманитарни дейности и др., местна комисия за борба с противообществените прояви на малолетни и непълнолетни, РПУ и др.; училища, лични лекари и др., които разполагат с информация за състоянието на свързаните сектори със социалните услуги, събиране на допълнителна статистическа информация.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Малко Търново, към 31.12.2021 г. е 3 078 жители, от тях 387 деца до 18-годишна възраст (12,6%). Общия брой на лицата с трайни увреждания е 242, от тях деца 9 (3,7%).</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Малко Търново са разкрити 5 социални услуги, всичките се предоставят в гр. Малко Търново. Общият капацитет на социалните услуги е за 90 потребители, в т.ч. 15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744"/>
        <w:gridCol w:w="1190"/>
        <w:gridCol w:w="1388"/>
        <w:gridCol w:w="1551"/>
        <w:gridCol w:w="1562"/>
        <w:gridCol w:w="625"/>
      </w:tblGrid>
      <w:tr>
        <w:trPr>
          <w:trHeight w:val="1" w:hRule="atLeast"/>
          <w:jc w:val="left"/>
        </w:trPr>
        <w:tc>
          <w:tcPr>
            <w:tcW w:w="274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19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138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ЦСРИПЛ</w:t>
            </w:r>
          </w:p>
        </w:tc>
        <w:tc>
          <w:tcPr>
            <w:tcW w:w="155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ЦНСТПЛД</w:t>
            </w:r>
          </w:p>
        </w:tc>
        <w:tc>
          <w:tcPr>
            <w:tcW w:w="156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ЦНСПЛУИ</w:t>
            </w:r>
          </w:p>
        </w:tc>
        <w:tc>
          <w:tcPr>
            <w:tcW w:w="62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274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1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6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74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1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5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1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6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bl>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Малко Търново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Малко Търново е 30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ЦНСТПЛД</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ЦНСТПЛУИ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Малко Търново,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Малко Търново има 22 лица от други населени места, които да ползват социални услуги.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012"/>
        <w:gridCol w:w="5048"/>
      </w:tblGrid>
      <w:tr>
        <w:trPr>
          <w:trHeight w:val="1" w:hRule="atLeast"/>
          <w:jc w:val="left"/>
        </w:trPr>
        <w:tc>
          <w:tcPr>
            <w:tcW w:w="401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504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012"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ЦНСТПЛД</w:t>
            </w:r>
          </w:p>
        </w:tc>
        <w:tc>
          <w:tcPr>
            <w:tcW w:w="5048"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r>
        <w:trPr>
          <w:trHeight w:val="1" w:hRule="atLeast"/>
          <w:jc w:val="left"/>
        </w:trPr>
        <w:tc>
          <w:tcPr>
            <w:tcW w:w="4012"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ЦНСТПЛУИ</w:t>
            </w:r>
          </w:p>
        </w:tc>
        <w:tc>
          <w:tcPr>
            <w:tcW w:w="5048"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Малко Търново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Във всички населени места в общината е налице трайна тенденция на непрекъснато намаляване на населението. Причината е във влошената възрастова структура на населението, особено в селата на общината, както и на миграцията на населението към областния център Бургас и други населени места на страната Естествения прираст на населението е отрицателен или раждаемостта е с много ниски стойности, а предвид застаряващото население смъртността е с високи стойности. През отчетния период прави впечатление, че механичния прираст е с положителни стойности, което се дължи на увеличаващият се брой заселени в общината и намалението на изселващото се население.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общината има незаети 6,5 щатни бройки в социалните институции, като те основно касаят квалифицирания персонал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рехабилитатори, кинезитерапевти, социални работници, медицински специалисти, психолози и др. За да може да се предлагат качествени социални услуги институциите прибягват към наемане на необходимите специалисти на граждански договори, понеже същите са от други населени места. Липсата на персонал е от изключителна важност при предоставянето на каквато и да е по вид услуга и води до невъзможност от разкриване на нови такива.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Малко Търново не е извела прогнозна потребност за необходимия персонал за функциониране на социалните услуги след трансформирането на съществуващите социални услуги и декомпозирането им по дейности, съгласно чл.15 от Закон за социалните услуги, както и въз основа на определените минимални изисквания в стандартите за качество на социалните услуги, касаещи броя и квалификацията на необходимите служители.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5763"/>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НЕСЕБЪР</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за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Източниците на използваната за анализа информация са: НСИ, РУО, РЗИ, Дирекция "Бюро по труда", Дирекция "Социално подпомагане", ГРАО.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Несебър, към 31.12.2021 г. е 30 721 жители, от тях 5 101 деца до 18-годишна възраст (16,6%). Общия брой на лицата с трайни увреждания е 1 157, от тях деца 69 (6%).</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Несебър са разкрити 2 социални услуги, всичките се предоставят в гр. Несебър. Общият капацитет на социалните услуги е за 71 потребители, в т.ч. 46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5147"/>
        <w:gridCol w:w="2472"/>
        <w:gridCol w:w="1441"/>
      </w:tblGrid>
      <w:tr>
        <w:trPr>
          <w:trHeight w:val="1" w:hRule="atLeast"/>
          <w:jc w:val="left"/>
        </w:trPr>
        <w:tc>
          <w:tcPr>
            <w:tcW w:w="514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7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144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514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4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514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4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c>
          <w:tcPr>
            <w:tcW w:w="14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46</w:t>
            </w:r>
          </w:p>
        </w:tc>
      </w:tr>
    </w:tbl>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Несебър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Несебър е 13</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лица.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ДПЛФУ</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ДПЛПР</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ЦНСТПЛПР</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ЗЖЛПР</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bl>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Несебър, различна от общината по настоящ адрес</w:t>
      </w:r>
    </w:p>
    <w:tbl>
      <w:tblPr/>
      <w:tblGrid>
        <w:gridCol w:w="4012"/>
        <w:gridCol w:w="5048"/>
      </w:tblGrid>
      <w:tr>
        <w:trPr>
          <w:trHeight w:val="1" w:hRule="atLeast"/>
          <w:jc w:val="left"/>
        </w:trPr>
        <w:tc>
          <w:tcPr>
            <w:tcW w:w="401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504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012"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5048"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Несебър има 7 лица от други населени места, които да ползват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Несебър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Графиката показва, че динамиката на населението в община Несебър от 2017 г. до края на 2022 г. постоянно нараства с леки темпове, като в градовете Несебър и Свети Влас е с най-високи стойности. През последните три години се наблюдава спад в раждаемостта, но стойностите за общината надвишават стойностите както на областно ниво, така и за страната. Коефициентът на смъртност в общината е по-нисък в сравнение със коефициента на областно и национално нива. Механичният прираст отчита положителни стойности, което показва благоприятна демографска тенденция. И тук в последните години се наблюдава поетапно застаряване на населението на територията на общината.</w:t>
      </w: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съпоставка на данните за брой на назначени служители и брой незаети длъжности към момента на извършването на анализа по утвърдените щатни разписания във всяка услуга, както и въз основа на определените минимални изисквания в стандартите за качество на социалните услуги, прогнозният брой на служителите отговаря на текущия брой налични щатни бройки. Текущия брой квалифицирани служители е достатъчен за оптималното функциониране на социалните и интегрираните здравно-социални услуги, необходимост възниква със спомагателни функции, а именно заемане на длъжността шофьор. При запазване на настоящия капацитет не се налага</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изменение на длъжностното щатно разписание, за да се постигне съответствие с изискванията за брой, квалификация и състав на служителите, заложени в стандартите за качество по НКСУ.</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5799"/>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ПОМОРИЕ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за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 изготвянето на настоящия анализ e използвана информация от следните източници: ДБТ; ДСП, териториално статистическо бюро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Бургас, ГРАО.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Поморие, към 31.12.2021 г. е 27 891 жители, от тях 4 784 деца до 18-годишна възраст (17,1%). Общия брой на лицата с трайни увреждания е 1 471, от тях деца 54 (3,7%).</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Поморие са разкрити 8 социални услуги, 4 от услугите се предоставят в гр. Поморие, 3 в с. Бата и Дом за пълнолетни лица с физически увреждания в с. Горица. Общият капацитет на социалните услуги е за 157 потребители, в т.ч. 53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125"/>
        <w:gridCol w:w="1859"/>
        <w:gridCol w:w="1979"/>
        <w:gridCol w:w="1035"/>
        <w:gridCol w:w="1209"/>
        <w:gridCol w:w="853"/>
      </w:tblGrid>
      <w:tr>
        <w:trPr>
          <w:trHeight w:val="1" w:hRule="atLeast"/>
          <w:jc w:val="left"/>
        </w:trPr>
        <w:tc>
          <w:tcPr>
            <w:tcW w:w="212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197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103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120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w:t>
            </w:r>
          </w:p>
        </w:tc>
        <w:tc>
          <w:tcPr>
            <w:tcW w:w="85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ПЖ</w:t>
            </w:r>
          </w:p>
        </w:tc>
      </w:tr>
      <w:tr>
        <w:trPr>
          <w:trHeight w:val="1" w:hRule="atLeast"/>
          <w:jc w:val="left"/>
        </w:trPr>
        <w:tc>
          <w:tcPr>
            <w:tcW w:w="21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8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9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0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5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1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8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c>
          <w:tcPr>
            <w:tcW w:w="19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10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c>
          <w:tcPr>
            <w:tcW w:w="12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85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bl>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tbl>
      <w:tblPr/>
      <w:tblGrid>
        <w:gridCol w:w="2852"/>
        <w:gridCol w:w="1145"/>
        <w:gridCol w:w="1999"/>
        <w:gridCol w:w="1997"/>
        <w:gridCol w:w="1067"/>
      </w:tblGrid>
      <w:tr>
        <w:trPr>
          <w:trHeight w:val="1" w:hRule="atLeast"/>
          <w:jc w:val="left"/>
        </w:trPr>
        <w:tc>
          <w:tcPr>
            <w:tcW w:w="285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14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ПЖ</w:t>
            </w:r>
          </w:p>
        </w:tc>
        <w:tc>
          <w:tcPr>
            <w:tcW w:w="199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199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ДПЛФУ</w:t>
            </w:r>
          </w:p>
        </w:tc>
        <w:tc>
          <w:tcPr>
            <w:tcW w:w="106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28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1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9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99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0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8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1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9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199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52</w:t>
            </w:r>
          </w:p>
        </w:tc>
        <w:tc>
          <w:tcPr>
            <w:tcW w:w="10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53</w:t>
            </w:r>
          </w:p>
        </w:tc>
      </w:tr>
    </w:tbl>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Поморие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Поморие е 11</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лица.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ДПЛФУ</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ЗЖЛУИ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bl>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Поморие,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Поморие има 44 лица от други населени места, които да ползват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30"/>
        <w:gridCol w:w="4530"/>
      </w:tblGrid>
      <w:tr>
        <w:trPr>
          <w:trHeight w:val="1" w:hRule="atLeast"/>
          <w:jc w:val="left"/>
        </w:trPr>
        <w:tc>
          <w:tcPr>
            <w:tcW w:w="453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3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ЦНСТДБУ</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r>
        <w:trPr>
          <w:trHeight w:val="1" w:hRule="atLeast"/>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ДПЛФУ</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39</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Поморие за последните 5 години</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Видно от графиката е, че стойностите на естествения прираст на населението са отрицателни. На лице е намаляване и застаряване на населението, което ще доведе до увеличаване разходите за грижа за старите хора. Застаряването на работната сила в условия на динамичен пазар на труда, с постоянно променящи се изисквания към квалификация и професионални умения на заетите лица, поражда необходимост от насърчаване на ученето през целия живот. Може да се направи изводът, че при продължаваща тенденция за намаляване на населението (в т.ч. и отлив към областен център и други по-големи населени места, с цел реализация на пазара на труда) и при продължаващо влошаване възрастовата характеристика, много села ще бъдат застрашени от обезлюдяване. Негативните демографски процеси са сходни с тези в областта, като цяло и в малките населени места в страната.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настоящия момент на изготвяне на анализа има незаети длъжностите за управител, психолог, рехабилитатор и социален работник по 1 щатна бройка и двама служители за длъжността шофьор на </w:t>
      </w:r>
      <w:r>
        <w:rPr>
          <w:rFonts w:ascii="Times New Roman" w:hAnsi="Times New Roman" w:cs="Times New Roman" w:eastAsia="Times New Roman"/>
          <w:color w:val="auto"/>
          <w:spacing w:val="0"/>
          <w:position w:val="0"/>
          <w:sz w:val="24"/>
          <w:shd w:fill="auto" w:val="clear"/>
        </w:rPr>
        <w:t xml:space="preserve">½ </w:t>
      </w:r>
      <w:r>
        <w:rPr>
          <w:rFonts w:ascii="Times New Roman" w:hAnsi="Times New Roman" w:cs="Times New Roman" w:eastAsia="Times New Roman"/>
          <w:color w:val="auto"/>
          <w:spacing w:val="0"/>
          <w:position w:val="0"/>
          <w:sz w:val="24"/>
          <w:shd w:fill="auto" w:val="clear"/>
        </w:rPr>
        <w:t xml:space="preserve">работен ден.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информация на ДБТ, регистрираните безработни лица с хуманитарно образование са 10, с медицинско образование 4 лица, лица с предишен опит в социалните услуги са 20.</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Поморие е изготвила прогноза за необходимия брой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4 </w:t>
      </w:r>
      <w:r>
        <w:rPr>
          <w:rFonts w:ascii="Times New Roman" w:hAnsi="Times New Roman" w:cs="Times New Roman" w:eastAsia="Times New Roman"/>
          <w:color w:val="auto"/>
          <w:spacing w:val="0"/>
          <w:position w:val="0"/>
          <w:sz w:val="24"/>
          <w:shd w:fill="auto" w:val="clear"/>
        </w:rPr>
        <w:t xml:space="preserve">служители за извършване на дейности по предоставяне на социални услуги, след  трансформирането на съществуващите социални услуги и декомпозирането им по дейности, съгласно чл.15 от Закон за социалните услуги, както и въз основа на определените минимални изисквания в стандартите за качество на социалните услуги, касаещи броя и квалификацията на необходимите служители.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5845"/>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ПРИМОРСКО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за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 целите на настоящия анализ e използвана информация от следните източници: анализи, доклади, стратегически документи на национално, областно и местно ниво и от РДСП; институциите на общинско ниво, ГРАО, НСИ, ДСП, местни комисии за борба срещу противообществените прояви на малолетни и непълнолетни, Детска педагогическа стая, които текущо документират своя опит и практика и разполагат със статистика за специфични групи на деца в риск.</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Приморско, към 31.12.2021 г. е 6 433 жители, от тях 867 деца до 18-годишна възраст (13,5%). Общия брой на лицата с трайни увреждания е 484, от тях деца 11 (2,3%).</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Приморско е разкрита социалната услуга Асистентска подкрепа с капацитет 6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7089"/>
        <w:gridCol w:w="1971"/>
      </w:tblGrid>
      <w:tr>
        <w:trPr>
          <w:trHeight w:val="1" w:hRule="atLeast"/>
          <w:jc w:val="left"/>
        </w:trPr>
        <w:tc>
          <w:tcPr>
            <w:tcW w:w="708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7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708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9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708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9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bl>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Приморско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Неприложим критерии за община Приморско.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Приморско,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Неприложим критерии за община Приморско.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Приморско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През последните години раждаемостта в община Приморско следва приблизително постоянни параметри. Търсенето на работа от младото и трудоспособно население в репродуктивна възраст в големите градове води до намаляване броя на населението в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Приморско е една от общините в областта с нисък дял на населението в трудоспособна възраст. Наблюдава се трайна тенденция на непрекъснато и устойчиво намаляване на населението в под трудоспособна и трудоспособна възраст и постепенно увеличаване на населението в над трудоспособна възраст.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Необходимост има от обучени специалисти, които да бъдат включени в щатното разписание на служителите в община Приморско като доставчик на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Приморско не е извела прогнозна потребност за необходимия персонал за функциониране на социалните услуги след трансформирането на съществуващите социални услуги и декомпозирането им по дейности, съгласно чл.15 от Закон за социалните услуги, както и въз основа на определените минимални изисквания в стандартите за качество на социалните услуги, касаещи броя и квалификацията на необходимите служители.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5858"/>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РУЕН</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за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Източниците на използваната за анализа информация са: анализи, доклади, стратегически документи на национално, областно и местно ниво; ДСП, РДСП, РИО на МОН, РЗОК, ДБТ; ГРАО; местни комисии за борба срещу противообществените прояви на малолетни и непълнолетни, РУ на МВР; данни, документация и експертиза на доставчиците на услуги за действащите социални услуги в общината; училища, лични лекари и пр.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Руен, към 31.12.2021 г. е 28 905 жители, от тях 13 193 деца до 18-годишна възраст (45,6%). Общия брой на лицата с трайни увреждания е 2 271, от тях деца 94 (4,1%).</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Руен е разкрита социалната услуга Асистентска подкрепа с капацитет 85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7170"/>
        <w:gridCol w:w="1890"/>
      </w:tblGrid>
      <w:tr>
        <w:trPr>
          <w:trHeight w:val="1" w:hRule="atLeast"/>
          <w:jc w:val="left"/>
        </w:trPr>
        <w:tc>
          <w:tcPr>
            <w:tcW w:w="717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89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left"/>
        </w:trPr>
        <w:tc>
          <w:tcPr>
            <w:tcW w:w="71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8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71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8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85</w:t>
            </w:r>
          </w:p>
        </w:tc>
      </w:tr>
    </w:tbl>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Руен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социална услуга Асистентска подкрепа на територията на община Руен е 245</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365"/>
        <w:gridCol w:w="5695"/>
      </w:tblGrid>
      <w:tr>
        <w:trPr>
          <w:trHeight w:val="1" w:hRule="atLeast"/>
          <w:jc w:val="left"/>
        </w:trPr>
        <w:tc>
          <w:tcPr>
            <w:tcW w:w="336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69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36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c>
          <w:tcPr>
            <w:tcW w:w="569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245</w:t>
            </w:r>
          </w:p>
        </w:tc>
      </w:tr>
    </w:tbl>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Руен,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Неприложим критерии за община Руен.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Руен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Динамиката на населението в община Руен показва, че броят на населението от 2017 г. нараства с бавни темпове. За наблюдавания петгодишен период се отчита спад в раждаемостта в общината. Коефициентът на смъртност се увеличава, което обяснява естествения прираст. Стойностите на механичен прираст в общината е отрицателен или стойностите на изселените надвишава заселилите се в общината. Като цяло, текущата демографска картина и перспективите за нейното развитие в средносрочен и дългосрочен план показват, че при равни други условия (при непроменени политики) демографският фактор ще подпомага възможността на икономическата система да генерира устойчив растеж и ще поддържа ефективността на икономическата политика, насочена към осигуряването на предпоставки за такъв в бъдеще.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незаети или свободни щатни бройки.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предоставената информация от ДБТ, регистрираните безработни лица с медицинско образование са 4, с хуманитарно образование са 3 лица, лицата с предишен опит в предоставянето на социални услуги са 46.</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Руен е извела прогнозна потребност за необходимия персонал- 6 служители за функциониране на социалните услуги след трансформирането на съществуващите социални услуги и декомпозирането им по дейности, съгласно чл.15 от Закон за социалните услуги, както и въз основа на определените минимални изисквания в стандартите за качество на социалните услуги, касаещи броя и квалификацията на необходимите служители.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5876"/>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8"/>
          <w:shd w:fill="auto" w:val="clear"/>
        </w:rPr>
      </w:pPr>
      <w:r>
        <w:rPr>
          <w:rFonts w:ascii="Times New Roman" w:hAnsi="Times New Roman" w:cs="Times New Roman" w:eastAsia="Times New Roman"/>
          <w:b/>
          <w:color w:val="003366"/>
          <w:spacing w:val="0"/>
          <w:position w:val="0"/>
          <w:sz w:val="28"/>
          <w:shd w:fill="auto" w:val="clear"/>
        </w:rPr>
        <w:t xml:space="preserve">ОБЩИНА СОЗОПОЛ</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за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 целите на настоящия анализ e използвана информация от следните източници НСИ; ДСП; РЗИ; териториално поделение на НОИ; териториално статистическо бюро; ГРАО; ДДО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ОДЗ“; НПО в сферата на социалните услуги; стратегически документи на национално, областно и местно ниво.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Созопол, към 31.12.2021 г. е 14 657 жители, от тях 1 958 деца до 18-годишна възраст (13,4%), Общия брой на лицата с трайни увреждания е 679, от тях деца 40 (5,9%).</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Созопол са разкрити 5 социални услуги, като ЦОП и АП функционират в гр. Созопол, ДЦДУ и ЦСРИД в гр. Черноморец и ЦНСТДМУ в с. Атия. Общият капацитет на услугите е 114 потребители, от които 31 са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583"/>
        <w:gridCol w:w="1141"/>
        <w:gridCol w:w="1377"/>
        <w:gridCol w:w="1207"/>
        <w:gridCol w:w="1866"/>
        <w:gridCol w:w="886"/>
      </w:tblGrid>
      <w:tr>
        <w:trPr>
          <w:trHeight w:val="1" w:hRule="atLeast"/>
          <w:jc w:val="left"/>
        </w:trPr>
        <w:tc>
          <w:tcPr>
            <w:tcW w:w="258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4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ДЦДУ</w:t>
            </w:r>
          </w:p>
        </w:tc>
        <w:tc>
          <w:tcPr>
            <w:tcW w:w="137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ЦСРИД</w:t>
            </w:r>
          </w:p>
        </w:tc>
        <w:tc>
          <w:tcPr>
            <w:tcW w:w="120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186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88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258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1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3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8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58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1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13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34</w:t>
            </w:r>
          </w:p>
        </w:tc>
        <w:tc>
          <w:tcPr>
            <w:tcW w:w="12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c>
          <w:tcPr>
            <w:tcW w:w="18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8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31</w:t>
            </w:r>
          </w:p>
        </w:tc>
      </w:tr>
    </w:tbl>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Созопол</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чакащи потребители за услугите в община Созопол.</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Созопол,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лица от други общини, които ползват социалните услуги в община Созопол.</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Созопол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Тенденциите, наблюдавани за общината в изследвания период /2017г.-2021г./ се различават от тези на национално и областно ниво, тъй като общият брой на населението в Община Созопол бележи ръст на увеличаване през този период, докато в страната и Област Бургас се наблюдават контрастни демографски тенденции. За разлика от данните на национално ниво, които сочат отрицателен механичен прираст на населението, броят на заселените в Община Созопол е по-висок от броя на изселилите се жители. Може да се направи извода, че в община Созопол към момента не може да се говори за тежка демографска криза. Тенденциите, като намаляваща раждаемост и увеличаващо се застаряващо население, се наблюдават като цяло в община Созопол и са симптоматични за цялата страна, водещо до засилването на негативния демографски ръст в дългосрочен план и по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сериозни предизвикателствата пред бъдещото функциониране на системите на социално осигуряване и подпомагане, здравеопазване, образование и публични финанси в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Налице са незаети 1.5 щатни бройки в социалните услуги функциониращи на територията на община Созопол. По данни на ДБТ няма регистрирани безработни лица с медицинско образование; с образование в областта на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Хуманитарните науки“; с предишен опит в сферата на социалните услуги и други.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Созопол не е извела прогнозна потребност за необходимия персонал за функциониране на социалните услуги след трансформирането на съществуващите социални услуги и декомпозирането им по дейности, съгласно чл.15 от Закон за социалните услуги, както и въз основа на определените минимални изисквания в стандартите за качество на социалните услуги, касаещи броя и квалификацията на необходимите служители.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5890"/>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color w:val="003366"/>
          <w:spacing w:val="0"/>
          <w:position w:val="0"/>
          <w:sz w:val="28"/>
          <w:shd w:fill="auto" w:val="clear"/>
        </w:rPr>
        <w:t xml:space="preserve"> </w:t>
      </w:r>
      <w:r>
        <w:rPr>
          <w:rFonts w:ascii="Times New Roman" w:hAnsi="Times New Roman" w:cs="Times New Roman" w:eastAsia="Times New Roman"/>
          <w:b/>
          <w:color w:val="003366"/>
          <w:spacing w:val="0"/>
          <w:position w:val="0"/>
          <w:sz w:val="24"/>
          <w:shd w:fill="auto" w:val="clear"/>
        </w:rPr>
        <w:t xml:space="preserve">ОБЩИНА СРЕДЕЦ</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за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 целите на настоящия анализ e използвана информация от следните източници преглед на законодателството; преглед на анализите на ситуацията и оценките на потребности от социални услуги в различните общини; НСИ; ДСП; ДБТ; анализ на данни, документация и експертиза на доставчиците на услуги за действащите социални услуги в общината; ГРАО; анализ на данни за здравнонеосигурени лица, получени от общопрактикуващите лекари в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Средец, към 31.12.2021 г. е 14 000 жители, от тях 2 648 деца до 18-годишна възраст (18,9%). Общия брой на лицата с трайни увреждания е 910, от тях деца 72 (7,9%).</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Средец са разкрити 9 социални услуги и всички функционират в гр. Средец, освен Дом за пълнолетни лица с умствена изостаналост, които се намира в с. Факия. Общият капацитет на услугите е 204 потребители, от които 43 са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742"/>
        <w:gridCol w:w="967"/>
        <w:gridCol w:w="968"/>
        <w:gridCol w:w="1518"/>
        <w:gridCol w:w="828"/>
        <w:gridCol w:w="1243"/>
        <w:gridCol w:w="966"/>
        <w:gridCol w:w="828"/>
      </w:tblGrid>
      <w:tr>
        <w:trPr>
          <w:trHeight w:val="1" w:hRule="atLeast"/>
          <w:jc w:val="left"/>
        </w:trPr>
        <w:tc>
          <w:tcPr>
            <w:tcW w:w="174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6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ДЦДУ</w:t>
            </w:r>
          </w:p>
        </w:tc>
        <w:tc>
          <w:tcPr>
            <w:tcW w:w="96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151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82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КЦД</w:t>
            </w:r>
          </w:p>
        </w:tc>
        <w:tc>
          <w:tcPr>
            <w:tcW w:w="124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ДПЛУИ</w:t>
            </w:r>
          </w:p>
        </w:tc>
        <w:tc>
          <w:tcPr>
            <w:tcW w:w="96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82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174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9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8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74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9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9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5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26</w:t>
            </w:r>
          </w:p>
        </w:tc>
        <w:tc>
          <w:tcPr>
            <w:tcW w:w="8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12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9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45</w:t>
            </w:r>
          </w:p>
        </w:tc>
        <w:tc>
          <w:tcPr>
            <w:tcW w:w="8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43</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Средец</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Средец е 11</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689"/>
        <w:gridCol w:w="5371"/>
      </w:tblGrid>
      <w:tr>
        <w:trPr>
          <w:trHeight w:val="1" w:hRule="atLeast"/>
          <w:jc w:val="left"/>
        </w:trPr>
        <w:tc>
          <w:tcPr>
            <w:tcW w:w="368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37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68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537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368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c>
          <w:tcPr>
            <w:tcW w:w="537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r>
    </w:tbl>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Средец,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общия капацитет на разкритите социални и здравно-социални услуги, делегирани от държавата дейности на територията на община Средец от други общини са общо 77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733"/>
        <w:gridCol w:w="5327"/>
      </w:tblGrid>
      <w:tr>
        <w:trPr>
          <w:trHeight w:val="1" w:hRule="atLeast"/>
          <w:jc w:val="left"/>
        </w:trPr>
        <w:tc>
          <w:tcPr>
            <w:tcW w:w="373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532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37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53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r>
      <w:tr>
        <w:trPr>
          <w:trHeight w:val="1" w:hRule="atLeast"/>
          <w:jc w:val="left"/>
        </w:trPr>
        <w:tc>
          <w:tcPr>
            <w:tcW w:w="37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КЦД</w:t>
            </w:r>
          </w:p>
        </w:tc>
        <w:tc>
          <w:tcPr>
            <w:tcW w:w="53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r>
      <w:tr>
        <w:trPr>
          <w:trHeight w:val="1" w:hRule="atLeast"/>
          <w:jc w:val="left"/>
        </w:trPr>
        <w:tc>
          <w:tcPr>
            <w:tcW w:w="37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53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w:t>
            </w:r>
          </w:p>
        </w:tc>
      </w:tr>
      <w:tr>
        <w:trPr>
          <w:trHeight w:val="1" w:hRule="atLeast"/>
          <w:jc w:val="left"/>
        </w:trPr>
        <w:tc>
          <w:tcPr>
            <w:tcW w:w="37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w:t>
            </w:r>
          </w:p>
        </w:tc>
        <w:tc>
          <w:tcPr>
            <w:tcW w:w="53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37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ДПЛУИ</w:t>
            </w:r>
          </w:p>
        </w:tc>
        <w:tc>
          <w:tcPr>
            <w:tcW w:w="53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28</w:t>
            </w:r>
          </w:p>
        </w:tc>
      </w:tr>
    </w:tbl>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Средец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община Средец тенденциите на неблагоприятните демографски процеси е също актуална. Динамиката показва трайна тенденция на намаляване на населението. Броят и структурите на населението се определят от размерите и интензивността на неговото естествено и миграционно движение. Естественият прираст на населението е отрицателен. Тенденциите на ниска раждаемост и висока смъртност са трайни и са причина за отрицателния естествен прираст и задълбочаващата се демографска криза в района.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Налице е 2,5 щатни бройки в социалните услуги, функциониращи на територията на община Средец. Община Средец е извела прогнозна потребност за необходимия персонал - 22 за функциониране на социалните услуги след трансформирането на съществуващите социални услуги и декомпозирането им по дейности, съгласно чл.15 от Закон за социалните услуги, както и въз основа на определените минимални изисквания в стандартите за качество на социалните услуги, касаещи броя и квалификацията на необходимите служители. По данни на ДБТ няма регистрирани безработни лица с хуманитарно и медицинско образование. Регистрираните безработни лица с предишен опит в предоставянето на социални услуги са 29.</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5930"/>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color w:val="003366"/>
          <w:spacing w:val="0"/>
          <w:position w:val="0"/>
          <w:sz w:val="28"/>
          <w:shd w:fill="auto" w:val="clear"/>
        </w:rPr>
        <w:t xml:space="preserve"> </w:t>
      </w:r>
      <w:r>
        <w:rPr>
          <w:rFonts w:ascii="Times New Roman" w:hAnsi="Times New Roman" w:cs="Times New Roman" w:eastAsia="Times New Roman"/>
          <w:b/>
          <w:color w:val="003366"/>
          <w:spacing w:val="0"/>
          <w:position w:val="0"/>
          <w:sz w:val="24"/>
          <w:shd w:fill="auto" w:val="clear"/>
        </w:rPr>
        <w:t xml:space="preserve">ОБЩИНА СУНГУРЛАРЕ</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за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 целите на настоящия анализ e използвана информация от следните източници: анализи, доклади, стратегически документи на национално, областно и местно ниво и от РДСП; НСИ, ГРАО, ДСП; местна комисия за борба срещу противообществените прояви на малолетни и непълнолетни, РУ на МВР гр. Карнобат; данни, документация и експертиза на доставчиците на услуги за действащите социални услуги в общината; училища, болници, лични лекари и пр., които разполагат с информация за състоянието на свързаните сектори със социалните услуги; граждански организации и НПО.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Сунгурларе, към 31.12.2021 г. е 11 189 жители, от тях 1752 деца до 18-годишна възраст (15,7%). Общия брой на лицата с трайни увреждания е 690, от тях деца 28 (4,1%).</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Сунгурларе са разкрити 4 социални услуги, където ДЦСХ и АП функционират в гр. Сунгурларе, ДСХ е на територията на с. Лозарево и ДПЛД е в с. Славянци. Общият капацитет на услугите е 133 потребители, от които 36 са Асистентска подкрепа и 45 в Дом за стари хора.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773"/>
        <w:gridCol w:w="1323"/>
        <w:gridCol w:w="1698"/>
        <w:gridCol w:w="1133"/>
        <w:gridCol w:w="1133"/>
      </w:tblGrid>
      <w:tr>
        <w:trPr>
          <w:trHeight w:val="1" w:hRule="atLeast"/>
          <w:jc w:val="left"/>
        </w:trPr>
        <w:tc>
          <w:tcPr>
            <w:tcW w:w="377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ДПЛД</w:t>
            </w:r>
          </w:p>
        </w:tc>
        <w:tc>
          <w:tcPr>
            <w:tcW w:w="169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ДЦСХ</w:t>
            </w:r>
          </w:p>
        </w:tc>
        <w:tc>
          <w:tcPr>
            <w:tcW w:w="113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113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377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6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77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c>
          <w:tcPr>
            <w:tcW w:w="16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c>
          <w:tcPr>
            <w:tcW w:w="11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45</w:t>
            </w:r>
          </w:p>
        </w:tc>
        <w:tc>
          <w:tcPr>
            <w:tcW w:w="11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36</w:t>
            </w:r>
          </w:p>
        </w:tc>
      </w:tr>
    </w:tbl>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Сунгурларе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Сунгурларе е 6</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265"/>
        <w:gridCol w:w="5795"/>
      </w:tblGrid>
      <w:tr>
        <w:trPr>
          <w:trHeight w:val="1" w:hRule="atLeast"/>
          <w:jc w:val="left"/>
        </w:trPr>
        <w:tc>
          <w:tcPr>
            <w:tcW w:w="326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79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26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ДПЛД</w:t>
            </w:r>
          </w:p>
        </w:tc>
        <w:tc>
          <w:tcPr>
            <w:tcW w:w="579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26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579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326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c>
          <w:tcPr>
            <w:tcW w:w="579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bl>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Сунгурларе,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общия капацитет на разкритите социални и здравно-социални услуги, делегирани от държавата дейности  на територията на община Сунгурларе от други общини са общо 48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195"/>
        <w:gridCol w:w="4865"/>
      </w:tblGrid>
      <w:tr>
        <w:trPr>
          <w:trHeight w:val="1" w:hRule="atLeast"/>
          <w:jc w:val="left"/>
        </w:trPr>
        <w:tc>
          <w:tcPr>
            <w:tcW w:w="419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86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1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48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w:t>
            </w:r>
          </w:p>
        </w:tc>
      </w:tr>
      <w:tr>
        <w:trPr>
          <w:trHeight w:val="1" w:hRule="atLeast"/>
          <w:jc w:val="left"/>
        </w:trPr>
        <w:tc>
          <w:tcPr>
            <w:tcW w:w="41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ДПЛД</w:t>
            </w:r>
          </w:p>
        </w:tc>
        <w:tc>
          <w:tcPr>
            <w:tcW w:w="48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26</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Сунгурларе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Темпа на увеличаване на населението съгласно графиката е постоянна тенденция, макар и с не много високи показатели. Раждаемостта в общината е ниска, за разлика от смъртността, което обяснява отрицателния естествен прираст, също и миграцията на младежи и хора в трудоспособна възраст. Заселилото се население е с високи стойности, но на хора в надтрудоспособна възраст, което е видно от отрицателния естествен прираст в общината и причина за положителните стойности на механичния прираст.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Разкритите длъжности във функциониращите социални услуги са 64, от тях заетите са 59, незаетите са 5. Причините за незаетите щатове са липса на квалифицирани специалисти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социални работници, медицински сестри и служители пряко ангажирани с обслужване на потребители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санитари. По информация на ДБТ, няма регистрирани безработни лица с хуманитарно и медицинско образование. Не е предоставена информация за брой регистрирани безработни лица с предишен опит в предоставянето на социални услуги. От предоставените данни става ясно, че сред 134 безработни лица, които са със средно образование има интерес за заемане на длъжности, свързани с пряко свързани с обслужването на потребителите на социални услуги. Представители от тази група безработни лица са активни в търсенето на работа, което е предпоставка да се удовлетворяват бързо непосредствено възникналите потребности. Община Сунгурларе не е извела прогнозна потребност за нужните служители в социалните услуги след декомпозирането на съществуващите и разкриването на нови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5968"/>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8"/>
          <w:shd w:fill="auto" w:val="clear"/>
        </w:rPr>
        <w:t xml:space="preserve"> </w:t>
      </w:r>
      <w:r>
        <w:rPr>
          <w:rFonts w:ascii="Times New Roman" w:hAnsi="Times New Roman" w:cs="Times New Roman" w:eastAsia="Times New Roman"/>
          <w:b/>
          <w:color w:val="003366"/>
          <w:spacing w:val="0"/>
          <w:position w:val="0"/>
          <w:sz w:val="24"/>
          <w:shd w:fill="auto" w:val="clear"/>
        </w:rPr>
        <w:t xml:space="preserve">ОБЩИНА ЦАРЕВО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за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 целите на настоящия анализ e използвана информация от следните източници: стратегически документи на национално, областно и местно ниво; ДСП; Отдел статистически изследвания</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Бургас, ГРАО, отговорна за социални, образователни и социални дейности и др.,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Царево, към 31.12.2021 г. е 9 164 жители, от тях 1 418 деца до 18-годишна възраст (15,5%). Общия брой на лицата с трайни увреждания е 472, от тях деца 20 (4,2%).</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Царево функционира Асистентска подкрепа с капацитет 22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6757"/>
        <w:gridCol w:w="2303"/>
      </w:tblGrid>
      <w:tr>
        <w:trPr>
          <w:trHeight w:val="1" w:hRule="atLeast"/>
          <w:jc w:val="left"/>
        </w:trPr>
        <w:tc>
          <w:tcPr>
            <w:tcW w:w="675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30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6757"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30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6757"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30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w:t>
            </w:r>
          </w:p>
        </w:tc>
      </w:tr>
    </w:tbl>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Царево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Царево е 4</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лица. 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497"/>
        <w:gridCol w:w="5563"/>
      </w:tblGrid>
      <w:tr>
        <w:trPr>
          <w:trHeight w:val="1" w:hRule="atLeast"/>
          <w:jc w:val="left"/>
        </w:trPr>
        <w:tc>
          <w:tcPr>
            <w:tcW w:w="349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56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49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c>
          <w:tcPr>
            <w:tcW w:w="556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bl>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Царево,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Неприложим критерии за община Царево.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Царево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Населението в община Царево в отчетния период запазва стойностите си, като се наблюдават през годините незначителна динамика на увеличаване и намаляване на стойностите. Най-ниски стойности има през 2019 г., а най-високи - през 2021 г. Демографският срив се забелязва в съотношението на високите стойности на смъртността и ниските стойности на раждаемостта в общината. В графиката по-горе се забелязва през целия отчетен период доминиращият брой на заселилите се граждани над тези, които са напуснали общината. Тенденцията обаче, която се наблюдава, както в общината, така и  в областта е на заселили се граждани в над трудоспособна възраст. Като част от това застаряващо население живее в трудно достъпните, периферно разположени общини. Намаляването и застаряването на населението е фактор, който има сериозно отражение не само върху икономиката и качеството на живот, но и върху потребността от специфични социални услуги, услуги в сферата на здравеопазването, отдиха и туризма, културата, административните услуги и обитаването.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свободни щатни длъжности. По информация на ДБТ-Созопол, филиал гр. Царево, няма регистрирани безработни лица с хуманитарно образование. Едно лице с медицинско образование е регистрирано като безработно. Няма регистрирани лица с предишен опит в предоставянето на социални услуги. Община Царево не е извела прогнозна потребност за необходимия персонал за функциониране на социалните услуги след трансформирането на съществуващите социални услуги и декомпозирането им по дейности, съгласно чл.15 от Закон за социалните услуги, както и въз основа на определените минимални изисквания в стандартите за качество на социалните услуги, касаещи броя и квалификацията на необходимите служители.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5986"/>
        </w:numPr>
        <w:tabs>
          <w:tab w:val="left" w:pos="718" w:leader="none"/>
        </w:tabs>
        <w:spacing w:before="0" w:after="0" w:line="240"/>
        <w:ind w:right="0" w:left="718"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АНАЛИЗ НА ПОТРЕБНОСТИТЕ В ОБЛАСТ БУРГАС (обобщено)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обобщени за област Бургас по общини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общините от област Бургас информацията за анализа е обобщена от: анализи, доклади, стратегически документи на национално и местно ниво; статистически бази-данни, ТСБ на НСИ. показателите в общината по критериите за социални и интегрирани здравно-социални услуги към 31.12.2022 г.; ГРАО; РДСП; ДСП; ДБТ; РЗИ, РУО на МОН, Местна комисия за борба срещу противообществените прояви на малолетни и непълнолетни, РУ на МВР, звената отговорни за образователни, хуманитарни дейности, общопрактикуващите лекари в общината и експертиза на доставчиците на услуги за действащите социални услуги в общината и др., граждански организации и НПО.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област Бургас, към 31.12.2021 г. е 415 742 жители, от тях 84 283 деца до 18-годишна възраст (21 %), броят на пълнолетните лица е 331 459 (79.3%). Общия брой на лицата с трайни увреждания е 23 843, от тях деца 1 339 (5,6%).</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областта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брои на социалните услуги на територията на област Бургас е 78 с 2 138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потребители. Броят на социалните услуги за пълнолетни лица са 45 със 1 506 потребители.</w:t>
      </w: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за деца са 33 със 632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графиките е видно, че на територията на областта преобладават услугите за резидентна грижа (ЦНСТ, ЗЖ, ПЖ, КЦ, КЦДПН, ЦВН) 34 услуги за 399 потребители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услугите в домашна среда (АП)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13 </w:t>
      </w:r>
      <w:r>
        <w:rPr>
          <w:rFonts w:ascii="Times New Roman" w:hAnsi="Times New Roman" w:cs="Times New Roman" w:eastAsia="Times New Roman"/>
          <w:color w:val="auto"/>
          <w:spacing w:val="0"/>
          <w:position w:val="0"/>
          <w:sz w:val="24"/>
          <w:shd w:fill="auto" w:val="clear"/>
        </w:rPr>
        <w:t xml:space="preserve">услуги за 841 потребители, услугите в специализирани институции за пълнолетни лица (ДПЛД, ДСХ) 5 услуги за 184 потребители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консултативни услуги (ДЦ, ЦСРИ, ЦОП, ЦРДУ)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26 </w:t>
      </w:r>
      <w:r>
        <w:rPr>
          <w:rFonts w:ascii="Times New Roman" w:hAnsi="Times New Roman" w:cs="Times New Roman" w:eastAsia="Times New Roman"/>
          <w:color w:val="auto"/>
          <w:spacing w:val="0"/>
          <w:position w:val="0"/>
          <w:sz w:val="24"/>
          <w:shd w:fill="auto" w:val="clear"/>
        </w:rPr>
        <w:t xml:space="preserve">услуги за 714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област Бургас</w:t>
      </w:r>
    </w:p>
    <w:tbl>
      <w:tblPr/>
      <w:tblGrid>
        <w:gridCol w:w="4976"/>
        <w:gridCol w:w="4084"/>
      </w:tblGrid>
      <w:tr>
        <w:trPr>
          <w:trHeight w:val="1" w:hRule="atLeast"/>
          <w:jc w:val="left"/>
        </w:trPr>
        <w:tc>
          <w:tcPr>
            <w:tcW w:w="497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408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264" w:hRule="auto"/>
          <w:jc w:val="left"/>
        </w:trPr>
        <w:tc>
          <w:tcPr>
            <w:tcW w:w="49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c>
          <w:tcPr>
            <w:tcW w:w="4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314</w:t>
            </w:r>
          </w:p>
        </w:tc>
      </w:tr>
      <w:tr>
        <w:trPr>
          <w:trHeight w:val="195" w:hRule="auto"/>
          <w:jc w:val="left"/>
        </w:trPr>
        <w:tc>
          <w:tcPr>
            <w:tcW w:w="49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4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r>
      <w:tr>
        <w:trPr>
          <w:trHeight w:val="1" w:hRule="atLeast"/>
          <w:jc w:val="left"/>
        </w:trPr>
        <w:tc>
          <w:tcPr>
            <w:tcW w:w="49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ДПЛУИ</w:t>
            </w:r>
          </w:p>
        </w:tc>
        <w:tc>
          <w:tcPr>
            <w:tcW w:w="4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54</w:t>
            </w:r>
          </w:p>
        </w:tc>
      </w:tr>
      <w:tr>
        <w:trPr>
          <w:trHeight w:val="1" w:hRule="atLeast"/>
          <w:jc w:val="left"/>
        </w:trPr>
        <w:tc>
          <w:tcPr>
            <w:tcW w:w="49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ДПЛФУ</w:t>
            </w:r>
          </w:p>
        </w:tc>
        <w:tc>
          <w:tcPr>
            <w:tcW w:w="4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r>
        <w:trPr>
          <w:trHeight w:val="1" w:hRule="atLeast"/>
          <w:jc w:val="left"/>
        </w:trPr>
        <w:tc>
          <w:tcPr>
            <w:tcW w:w="49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ДПЛПР</w:t>
            </w:r>
          </w:p>
        </w:tc>
        <w:tc>
          <w:tcPr>
            <w:tcW w:w="4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49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ДЦПЛУ</w:t>
            </w:r>
          </w:p>
        </w:tc>
        <w:tc>
          <w:tcPr>
            <w:tcW w:w="4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74</w:t>
            </w:r>
          </w:p>
        </w:tc>
      </w:tr>
      <w:tr>
        <w:trPr>
          <w:trHeight w:val="1" w:hRule="atLeast"/>
          <w:jc w:val="left"/>
        </w:trPr>
        <w:tc>
          <w:tcPr>
            <w:tcW w:w="49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ЦНСТДМУ</w:t>
            </w:r>
          </w:p>
        </w:tc>
        <w:tc>
          <w:tcPr>
            <w:tcW w:w="4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9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ЦНСТПЛД</w:t>
            </w:r>
          </w:p>
        </w:tc>
        <w:tc>
          <w:tcPr>
            <w:tcW w:w="4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w:t>
            </w:r>
          </w:p>
        </w:tc>
      </w:tr>
      <w:tr>
        <w:trPr>
          <w:trHeight w:val="1" w:hRule="atLeast"/>
          <w:jc w:val="left"/>
        </w:trPr>
        <w:tc>
          <w:tcPr>
            <w:tcW w:w="49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ЦНСТПЛУИ</w:t>
            </w:r>
          </w:p>
        </w:tc>
        <w:tc>
          <w:tcPr>
            <w:tcW w:w="4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r>
        <w:trPr>
          <w:trHeight w:val="1" w:hRule="atLeast"/>
          <w:jc w:val="left"/>
        </w:trPr>
        <w:tc>
          <w:tcPr>
            <w:tcW w:w="49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ЦНСТПЛПР</w:t>
            </w:r>
          </w:p>
        </w:tc>
        <w:tc>
          <w:tcPr>
            <w:tcW w:w="4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49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ЗЖЛПР</w:t>
            </w:r>
          </w:p>
        </w:tc>
        <w:tc>
          <w:tcPr>
            <w:tcW w:w="4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126</w:t>
            </w:r>
          </w:p>
        </w:tc>
      </w:tr>
      <w:tr>
        <w:trPr>
          <w:trHeight w:val="1" w:hRule="atLeast"/>
          <w:jc w:val="left"/>
        </w:trPr>
        <w:tc>
          <w:tcPr>
            <w:tcW w:w="49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ЗЖЛУИ</w:t>
            </w:r>
          </w:p>
        </w:tc>
        <w:tc>
          <w:tcPr>
            <w:tcW w:w="4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38</w:t>
            </w:r>
          </w:p>
        </w:tc>
      </w:tr>
      <w:tr>
        <w:trPr>
          <w:trHeight w:val="1" w:hRule="atLeast"/>
          <w:jc w:val="left"/>
        </w:trPr>
        <w:tc>
          <w:tcPr>
            <w:tcW w:w="49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Общо</w:t>
            </w:r>
          </w:p>
        </w:tc>
        <w:tc>
          <w:tcPr>
            <w:tcW w:w="4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657</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Общо 657 лица са включени в списъците на чакащите за ползване на социални услуги в териториалния обхват на област Бургас. Голям е и броят на лицата за включване в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област Бургас, различна от  общината по настоящ адрес</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и интегрирани здравно-социални услуги на територията на област Бургас, различна от общината по настоящ адрес е 467. Най-голям е техният брой в социалните услуги на територията на общините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Карнобат, Камено и Средец, следвани от общините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Бургас, Сунгурларе и Поморие.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област Бургас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Анализа на данните на демографското развитие в област Бургас за периода 2021 г.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2017 </w:t>
      </w:r>
      <w:r>
        <w:rPr>
          <w:rFonts w:ascii="Times New Roman" w:hAnsi="Times New Roman" w:cs="Times New Roman" w:eastAsia="Times New Roman"/>
          <w:color w:val="auto"/>
          <w:spacing w:val="0"/>
          <w:position w:val="0"/>
          <w:sz w:val="24"/>
          <w:shd w:fill="auto" w:val="clear"/>
        </w:rPr>
        <w:t xml:space="preserve">г. показва тенденция към незначително намаление на броя на населението в областта. В общините Камено, Несебър, Созопол и Сунгурларе се наблюдава незначително увеличение на населението за разглеждания 5 годишен период, което е следствие на миграционните процеси. Заселилото се население надвишава броя на напусналото, като застаряващото население запазва високите си стойности. Във всички общини се отчита ниска раждаемост с тенденция към намаление, висока смъртност и отрицателен естествен прираст. Прогресивно намаляване на относителния дял на лицата в трудоспособна възраст. Висок е броя на хората с увреждания, както и на самотно живеещите стари хора от селата в общината, с невъзможност за самообслужване.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Персоналът в социалните услуги на територията на Бургаска област е с необходимия брой служители с нужното образование и професионална квалификация, съобразно спецификата на работа в услугите, които включват основни специалисти, препоръчителни специалисти, пряко ангажирани с обслужването на потребителите, подпомагащи служители. Прилагат се ефективни системи за управление. Има обаче общини като Царево, Средец, Приморско, където няма необходимите служители, поради липса на квалифицирани такива. В общини като Руен, Созопол, Сунгурларе няма свободни щатни длъжности. А в анализа си община Поморие е отразила липса на финансови средства за назначаване на служители на пълен работен ден, като тяхната заетост към момента е на половин работен ден. Липсата на персонал е от изключителна важност при предоставянето на каквато и да е по вид услуга и води до невъзможност от разкриване на нови такива.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Общините Бургас, Карнобат, Малко Търново, Созопол, Сунгурларе и Царево не са извели прогнозна потребност за необходимия персонал за функциониране на социалните услуги след трансформирането на съществуващите социални услуги и декомпозирането им по дейности, съгласно чл.15 от Закон за социалните услуги, както и въз основа на определените минимални изисквания в стандартите за качество на социалните услуги, касаещи броя и квалификацията на необходимите служители.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Бургас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област Бургас демографските характеристики за отделните общини са разнородни. Наблюдава се запазване на стабилни демографски показатели за последните 5 години.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са ключов фактор за ефективно социално включване и участие в живота на обществото на всички групи лица, които имат необходимост от подкрепа. Във основа на направения анализ на състоянието на социалните услуги на територията на областта и очерталите се тенденции, могат да се направят следните изводи: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Осигуряването на равен достъп до услуги на всички нуждаещи се чрез планиране на социални услуги, съгласно реалните потребности и нужди и равномерно разпределение на социалните услуги на територията на област Бургас са съществена част от политиките на областната и общинските администрации. Тази форма на подкрепа подпомага и разширява възможностите на лицата да водят самостоятелен начин на живот и са насочени към подкрепа на подпомаганите лица за осъществяване на ежедневните им дейности.</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Общи изводи, които преобладават за по-малките общини в област Бургас, могат най-общо да се класифицират по следния начин:</w:t>
      </w:r>
    </w:p>
    <w:p>
      <w:pPr>
        <w:numPr>
          <w:ilvl w:val="0"/>
          <w:numId w:val="6034"/>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Доминиращ брой регистрирани безработни без специалност и ниско образование;</w:t>
      </w:r>
    </w:p>
    <w:p>
      <w:pPr>
        <w:numPr>
          <w:ilvl w:val="0"/>
          <w:numId w:val="6034"/>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Висок дял на хората с увреждания, както и на самотно живеещите стари хора, пръснати в многобройните села в общината;</w:t>
      </w:r>
    </w:p>
    <w:p>
      <w:pPr>
        <w:numPr>
          <w:ilvl w:val="0"/>
          <w:numId w:val="6034"/>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Самотни стари хора и хора с увреждания са едни от целевите групи за, които е необходимо да се осигурят услуги в общността, а именно, домашен помощник и социален асистент, личен асистент и др.;</w:t>
      </w:r>
    </w:p>
    <w:p>
      <w:pPr>
        <w:numPr>
          <w:ilvl w:val="0"/>
          <w:numId w:val="6034"/>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Друга целева група, която се нуждае от услуга в общността е деца в риск и техните семейства;</w:t>
      </w:r>
    </w:p>
    <w:p>
      <w:pPr>
        <w:numPr>
          <w:ilvl w:val="0"/>
          <w:numId w:val="6034"/>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по-малките общини, например като община Приморско услугите за деца и лица с увреждания се свеждат до програмите за личен и социален асистент, които не могат да обхванат всички нуждаещи се;</w:t>
      </w:r>
    </w:p>
    <w:p>
      <w:pPr>
        <w:numPr>
          <w:ilvl w:val="0"/>
          <w:numId w:val="6034"/>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Липсват услуги в общността за подкрепа на семейства в риск (деца с един родител, бедни семейства, млади майки). </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услугите за деца в малките общини в областта:</w:t>
      </w:r>
    </w:p>
    <w:p>
      <w:pPr>
        <w:numPr>
          <w:ilvl w:val="0"/>
          <w:numId w:val="6036"/>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Услугите в общността за деца и семейства са слабо развити;</w:t>
      </w:r>
    </w:p>
    <w:p>
      <w:pPr>
        <w:numPr>
          <w:ilvl w:val="0"/>
          <w:numId w:val="6036"/>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Слабо развити са формите на алтернативна семейна грижа с изключение на настаняването при близки и роднини;</w:t>
      </w:r>
    </w:p>
    <w:p>
      <w:pPr>
        <w:numPr>
          <w:ilvl w:val="0"/>
          <w:numId w:val="6036"/>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гарантиран набор от услуги по превенция, които могат да окажат подкрепа на родители и деца, като по този начин да подпомогнат отглеждането и възпитанието на децата.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услугите за възрастни с увреждания и стари хора:</w:t>
      </w:r>
    </w:p>
    <w:p>
      <w:pPr>
        <w:numPr>
          <w:ilvl w:val="0"/>
          <w:numId w:val="6038"/>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последните години в общината се развиват услуги в общността за възрастни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традиционно развитата Домашен патронаж;</w:t>
      </w:r>
    </w:p>
    <w:p>
      <w:pPr>
        <w:numPr>
          <w:ilvl w:val="0"/>
          <w:numId w:val="6038"/>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Развитието на услугите в общността за възрастни с увреждания и стари хора е задоволително. Рисковата група е голяма, което налага разширяването на спектъра и обхвата на предоставяните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6040"/>
        </w:numPr>
        <w:tabs>
          <w:tab w:val="left" w:pos="718" w:leader="none"/>
        </w:tabs>
        <w:spacing w:before="0" w:after="0" w:line="240"/>
        <w:ind w:right="0" w:left="718" w:hanging="576"/>
        <w:jc w:val="both"/>
        <w:rPr>
          <w:rFonts w:ascii="Times New Roman" w:hAnsi="Times New Roman" w:cs="Times New Roman" w:eastAsia="Times New Roman"/>
          <w:b/>
          <w:color w:val="003366"/>
          <w:spacing w:val="0"/>
          <w:position w:val="0"/>
          <w:sz w:val="28"/>
          <w:shd w:fill="auto" w:val="clear"/>
        </w:rPr>
      </w:pPr>
      <w:r>
        <w:rPr>
          <w:rFonts w:ascii="Times New Roman" w:hAnsi="Times New Roman" w:cs="Times New Roman" w:eastAsia="Times New Roman"/>
          <w:b/>
          <w:color w:val="003366"/>
          <w:spacing w:val="0"/>
          <w:position w:val="0"/>
          <w:sz w:val="28"/>
          <w:shd w:fill="auto" w:val="clear"/>
        </w:rPr>
        <w:t xml:space="preserve">ОБЛАСТ СЛИВЕН</w:t>
      </w:r>
    </w:p>
    <w:p>
      <w:pPr>
        <w:keepNext w:val="true"/>
        <w:numPr>
          <w:ilvl w:val="0"/>
          <w:numId w:val="6040"/>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КОТЕЛ</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процеса на изготвяне на анализа на община Котел са използвани следните източници за събиране на информация: систематизиране и обобщаване на статистически данни, регулярно събирани от общинска администрация и местно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базираните държавни институции; събиране на допълнителна статистическа информация за разпределението на ключови рискови групи и ползватели на социални услуги по населени места; срещи и дискусии на представители на общинската администрация, ДСП, ТСБ, ГРАО, дирекциите, отговорни за социални, образователни и хуманитарни дейности и други; данни, документация и експертиза за действащите социални услуги в община  Котел; училища, детски градини, лични лекари и други, които разполагат с информация за състоянието на свързаните сектори със социалните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Котел, към 31.12.2021 г. е 17 654 жители, от тях 3 717 деца до 18-годишна възраст (21,1%). Общия брой на лицата с трайни увреждания е 1 316, от тях деца 45 (3,4%). </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FF0000"/>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Котел са разкрити 5 социални услуги, като всички функционират в гр. Котел. Общият капацитет на услугите е за 203 потребители, в т.ч. 111 асистентска подкрепа.</w:t>
      </w:r>
    </w:p>
    <w:tbl>
      <w:tblPr/>
      <w:tblGrid>
        <w:gridCol w:w="3116"/>
        <w:gridCol w:w="1826"/>
        <w:gridCol w:w="1105"/>
        <w:gridCol w:w="1105"/>
        <w:gridCol w:w="1143"/>
        <w:gridCol w:w="765"/>
      </w:tblGrid>
      <w:tr>
        <w:trPr>
          <w:trHeight w:val="1" w:hRule="atLeast"/>
          <w:jc w:val="left"/>
        </w:trPr>
        <w:tc>
          <w:tcPr>
            <w:tcW w:w="311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82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110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w:t>
            </w:r>
          </w:p>
        </w:tc>
        <w:tc>
          <w:tcPr>
            <w:tcW w:w="110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ЦРДУ</w:t>
            </w:r>
          </w:p>
        </w:tc>
        <w:tc>
          <w:tcPr>
            <w:tcW w:w="114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ДЦСХ</w:t>
            </w:r>
          </w:p>
        </w:tc>
        <w:tc>
          <w:tcPr>
            <w:tcW w:w="76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311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82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0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0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4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76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11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82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110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10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c>
          <w:tcPr>
            <w:tcW w:w="114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w:t>
            </w:r>
          </w:p>
        </w:tc>
        <w:tc>
          <w:tcPr>
            <w:tcW w:w="76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111</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Котел</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чакащи потребители на услуги, които се предлагат в община Котел.</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Котел,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общия капацитет на разкритите социални и здравно-социални услуги, делегирани от държавата дейности  на територията на община Котел от други общини са общо 3 лица:</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tbl>
      <w:tblPr/>
      <w:tblGrid>
        <w:gridCol w:w="2838"/>
        <w:gridCol w:w="6212"/>
      </w:tblGrid>
      <w:tr>
        <w:trPr>
          <w:trHeight w:val="1" w:hRule="atLeast"/>
          <w:jc w:val="left"/>
        </w:trPr>
        <w:tc>
          <w:tcPr>
            <w:tcW w:w="2838" w:type="dxa"/>
            <w:tcBorders>
              <w:top w:val="single" w:color="000000" w:sz="8"/>
              <w:left w:val="single" w:color="000000" w:sz="8"/>
              <w:bottom w:val="single" w:color="000000" w:sz="8"/>
              <w:right w:val="single" w:color="000000" w:sz="8"/>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6212" w:type="dxa"/>
            <w:tcBorders>
              <w:top w:val="single" w:color="000000" w:sz="8"/>
              <w:left w:val="single" w:color="000000" w:sz="0"/>
              <w:bottom w:val="single" w:color="000000" w:sz="8"/>
              <w:right w:val="single" w:color="000000" w:sz="8"/>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2838"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ЦНСТДМУ</w:t>
            </w:r>
          </w:p>
        </w:tc>
        <w:tc>
          <w:tcPr>
            <w:tcW w:w="6212"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bl>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Котел за последните 5 години</w:t>
      </w:r>
    </w:p>
    <w:p>
      <w:pPr>
        <w:tabs>
          <w:tab w:val="left" w:pos="709" w:leader="none"/>
          <w:tab w:val="left" w:pos="9356"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Видно от графиката населението в общината прогресивно намалява. Което може да се изведе като заключение и от увеличаващият се брой на смъртността и намаляване на раждаемостта в общината за разглеждания период. Прави впечатление, че стойностите на раждаемостта и смъртността в община Котел намаляват, с изключение на годините 2018 и 2019, когато броя им се задържа с почти еднакви стойности. Отрицателните стойности на естествения прираст има все по-големи стойности през периода от 2017 г. до 2021 г. Механичния прираст в общината е с отрицателни стойности, въпреки тенденцията за намаляване на населението напуснало Котел и населението, което се е заселило в същата община.</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Отчита се недостиг на квалифицирани медицински специалисти, както и лица с подходящо образование в сферата на социалните услуги. Основната причина за това е честата миграция на квалифицирани специалисти в по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големите градове и чужбина.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от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град Котел е видно, че няма регистрирани безработни лица с медицинско или хуманитарно образование за работа в социалните услуги. Регистрираните безработни лица с предишен опит в предоставянето на социалните услуги са 116 лица. </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Котел не е изготвила прогноза в анализа за необходимия брой служители за извършване на дейностите по предоставяне на социални и интегрирани здравно-социални услуги</w:t>
      </w:r>
      <w:r>
        <w:rPr>
          <w:rFonts w:ascii="Times New Roman" w:hAnsi="Times New Roman" w:cs="Times New Roman" w:eastAsia="Times New Roman"/>
          <w:color w:val="000000"/>
          <w:spacing w:val="0"/>
          <w:position w:val="0"/>
          <w:sz w:val="24"/>
          <w:shd w:fill="auto" w:val="clear"/>
        </w:rPr>
        <w:t xml:space="preserve"> с оглед на оптимално им функциониране</w:t>
      </w:r>
      <w:r>
        <w:rPr>
          <w:rFonts w:ascii="Times New Roman" w:hAnsi="Times New Roman" w:cs="Times New Roman" w:eastAsia="Times New Roman"/>
          <w:color w:val="auto"/>
          <w:spacing w:val="0"/>
          <w:position w:val="0"/>
          <w:sz w:val="24"/>
          <w:shd w:fill="auto" w:val="clear"/>
        </w:rPr>
        <w:t xml:space="preserve">, в</w:t>
      </w:r>
      <w:r>
        <w:rPr>
          <w:rFonts w:ascii="Times New Roman" w:hAnsi="Times New Roman" w:cs="Times New Roman" w:eastAsia="Times New Roman"/>
          <w:color w:val="000000"/>
          <w:spacing w:val="0"/>
          <w:position w:val="0"/>
          <w:sz w:val="24"/>
          <w:shd w:fill="auto" w:val="clear"/>
        </w:rPr>
        <w:t xml:space="preserve">ъв връзка с декомпозирането на съществуващите към момента 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6069"/>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НОВА ЗАГОРА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tabs>
          <w:tab w:val="left" w:pos="426"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 на анализа за община Нова Загора са използвани следните източници: План за интегрирано развитие на община Нова Загора за периода 2021-2027 година; Анализ на потребностите от подкрепа за личностното развитие на децата и учениците в Община Нова Загора; Анализ на състоянието и тенденциите в развитието на системата за здравеопазване в област Сливен; НСИ, ДБТ, ДСП, РЗИ; ГРАО, ОСТТ, ОМДС, ЗСУ; информация от кметове на населени места; разговори с потребители на социалните услуги и техните семейства и близки; доставчиците на услуги за действащите социални услуги в общината; училища, МБАЛ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Света Петка Българска”, Нова Загора и лични лекари, които разполагат с информация за състоянието на свързаните сектори със социалните услуги; граждански организации и НПО.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Анализът обхваща периода 2017-2021 година. По данни на община Нова Загора общият брой на населението, към 31.12.2021 г. е 30 569 жители, от тях 6 655 деца до 18-годишна възраст (21,8 %). Общия брой на лицата с трайни увреждания е 2 438, от тях деца 130 (5,3 %).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FF0000"/>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Нова Загора са разкрити 5 социални услуги, от които  3 функционират на територията на гр. Нова Загора, а ДЦДМУ е на територията на с. Асеновец и ДСХ в с. Баня. Общият капацитет на социалните услуги е за 197 потребители, в т.ч. 86 Асистентска подкрепа и 54 в Дом за стари хора.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270"/>
        <w:gridCol w:w="1518"/>
        <w:gridCol w:w="1036"/>
        <w:gridCol w:w="1497"/>
        <w:gridCol w:w="971"/>
        <w:gridCol w:w="768"/>
      </w:tblGrid>
      <w:tr>
        <w:trPr>
          <w:trHeight w:val="274" w:hRule="auto"/>
          <w:jc w:val="left"/>
        </w:trPr>
        <w:tc>
          <w:tcPr>
            <w:tcW w:w="327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51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103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149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97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76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32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51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0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9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7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2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51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w:t>
            </w:r>
          </w:p>
        </w:tc>
        <w:tc>
          <w:tcPr>
            <w:tcW w:w="10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31</w:t>
            </w:r>
          </w:p>
        </w:tc>
        <w:tc>
          <w:tcPr>
            <w:tcW w:w="149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9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54</w:t>
            </w:r>
          </w:p>
        </w:tc>
        <w:tc>
          <w:tcPr>
            <w:tcW w:w="7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86</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Нова Загора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Нова Загора е 27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542"/>
        <w:gridCol w:w="5518"/>
      </w:tblGrid>
      <w:tr>
        <w:trPr>
          <w:trHeight w:val="1" w:hRule="atLeast"/>
          <w:jc w:val="left"/>
        </w:trPr>
        <w:tc>
          <w:tcPr>
            <w:tcW w:w="354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51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54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551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1" w:hRule="atLeast"/>
          <w:jc w:val="left"/>
        </w:trPr>
        <w:tc>
          <w:tcPr>
            <w:tcW w:w="354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c>
          <w:tcPr>
            <w:tcW w:w="551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21</w:t>
            </w:r>
          </w:p>
        </w:tc>
      </w:tr>
    </w:tbl>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Нова Загора, различна от  общината по настоящ адрес</w:t>
      </w: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Нова Загора, от други общини е 18.</w:t>
      </w:r>
      <w:r>
        <w:rPr>
          <w:rFonts w:ascii="Times New Roman" w:hAnsi="Times New Roman" w:cs="Times New Roman" w:eastAsia="Times New Roman"/>
          <w:i/>
          <w:color w:val="auto"/>
          <w:spacing w:val="0"/>
          <w:position w:val="0"/>
          <w:sz w:val="24"/>
          <w:shd w:fill="auto" w:val="clear"/>
        </w:rPr>
        <w:t xml:space="preserve"> </w:t>
      </w:r>
    </w:p>
    <w:tbl>
      <w:tblPr/>
      <w:tblGrid>
        <w:gridCol w:w="3189"/>
        <w:gridCol w:w="5871"/>
      </w:tblGrid>
      <w:tr>
        <w:trPr>
          <w:trHeight w:val="1" w:hRule="atLeast"/>
          <w:jc w:val="left"/>
        </w:trPr>
        <w:tc>
          <w:tcPr>
            <w:tcW w:w="3189"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5871"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3189"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5871"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r>
      <w:tr>
        <w:trPr>
          <w:trHeight w:val="1" w:hRule="atLeast"/>
          <w:jc w:val="left"/>
        </w:trPr>
        <w:tc>
          <w:tcPr>
            <w:tcW w:w="3189"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ЗЖЛУИ</w:t>
            </w:r>
          </w:p>
        </w:tc>
        <w:tc>
          <w:tcPr>
            <w:tcW w:w="5871"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Нова Загора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Видно от графиката се отчита намаляване на населението в община Нова Загора, което е следствие от отрицателните естествен и механичен прираст. Налице е спад на нивото на раждаемостта в отчетния период, на фона на увеличената смъртност. Отрицателният естествен прираст показва, че при запазване на тази тенденция ще се ограничи възможността за естественото възпроизводство на населението през следващите години. Видно от представените данни, механичният прираст на населението на общината за всяка година от изследвания период е отрицателна величина. Очертана е негативна тенденция на изселване на жителите на общината. Гъстотата на населението запазва устойчивост във времето и се движи около 39 души на кв.м.</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Броя на служителите във функциониращите социални услуги на територията на община Нова Загора по утвърдено щатно разписание е 46 бройки. Свободни длъжности в ДЦДМУ са логопед 0,5; общ работник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и в ЦОП за социален работник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трансформирането на съществуващите социални услуги и декомпозирането им по дейности, съгласно чл.15 от Закон за социалните услуги,</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както и за обезпечаването на общодостъпната социални услуги по чл. 12, ал. 2,  т. 1 и т.2 и обезпечаване с персонал на нови услуги, въз основа на определените минимални изисквания в стандартите за качество на социалните услуги, касаещи броя и квалификацията на необходимите служители община Нова Загора е извеждала потребност от допълнително 3 щатни бройки.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6104"/>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СЛИВЕН</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Сливен информацията за анализа е получена от Анализи, доклади, стратегически документи на национално, областно и местно ниво; РЗИ,ДБТ; РЗОК, ГРАО;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Сливен; НСИ; Данни и документация неправителствени организации, социални услуги и данни от проекти изпълнявани от община Сливен в сферата на социалните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Сливен, към 31.12.2021 г. е 124 501 жители, от тях 26 801 деца до 18-годишна възраст (21,5%). Общия брой на лицата с трайни увреждания е 9 276, от тях деца 466 (5%).</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Сливен функционират 16 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943"/>
        <w:gridCol w:w="1078"/>
        <w:gridCol w:w="1511"/>
        <w:gridCol w:w="1294"/>
        <w:gridCol w:w="1294"/>
        <w:gridCol w:w="864"/>
        <w:gridCol w:w="1076"/>
      </w:tblGrid>
      <w:tr>
        <w:trPr>
          <w:trHeight w:val="1" w:hRule="atLeast"/>
          <w:jc w:val="left"/>
        </w:trPr>
        <w:tc>
          <w:tcPr>
            <w:tcW w:w="194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604" w:firstLine="604"/>
              <w:jc w:val="both"/>
              <w:rPr>
                <w:rFonts w:ascii="Calibri" w:hAnsi="Calibri" w:cs="Calibri" w:eastAsia="Calibri"/>
                <w:color w:val="auto"/>
                <w:spacing w:val="0"/>
                <w:position w:val="0"/>
                <w:sz w:val="22"/>
                <w:shd w:fill="auto" w:val="clear"/>
              </w:rPr>
            </w:pPr>
          </w:p>
        </w:tc>
        <w:tc>
          <w:tcPr>
            <w:tcW w:w="107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151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ДЦСХ</w:t>
            </w:r>
          </w:p>
        </w:tc>
        <w:tc>
          <w:tcPr>
            <w:tcW w:w="129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ЦСРИПЛ</w:t>
            </w:r>
          </w:p>
        </w:tc>
        <w:tc>
          <w:tcPr>
            <w:tcW w:w="129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ЦСРИДМ</w:t>
            </w:r>
          </w:p>
        </w:tc>
        <w:tc>
          <w:tcPr>
            <w:tcW w:w="86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ЗМБ</w:t>
            </w:r>
          </w:p>
        </w:tc>
        <w:tc>
          <w:tcPr>
            <w:tcW w:w="107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194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0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5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0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94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0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w:t>
            </w:r>
          </w:p>
        </w:tc>
        <w:tc>
          <w:tcPr>
            <w:tcW w:w="15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2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50</w:t>
            </w:r>
          </w:p>
        </w:tc>
        <w:tc>
          <w:tcPr>
            <w:tcW w:w="12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c>
          <w:tcPr>
            <w:tcW w:w="8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10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278</w:t>
            </w:r>
          </w:p>
        </w:tc>
      </w:tr>
    </w:tbl>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tbl>
      <w:tblPr/>
      <w:tblGrid>
        <w:gridCol w:w="1645"/>
        <w:gridCol w:w="1491"/>
        <w:gridCol w:w="1423"/>
        <w:gridCol w:w="1065"/>
        <w:gridCol w:w="1066"/>
        <w:gridCol w:w="1110"/>
        <w:gridCol w:w="1260"/>
      </w:tblGrid>
      <w:tr>
        <w:trPr>
          <w:trHeight w:val="1" w:hRule="atLeast"/>
          <w:jc w:val="left"/>
        </w:trPr>
        <w:tc>
          <w:tcPr>
            <w:tcW w:w="164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604" w:firstLine="604"/>
              <w:jc w:val="both"/>
              <w:rPr>
                <w:rFonts w:ascii="Calibri" w:hAnsi="Calibri" w:cs="Calibri" w:eastAsia="Calibri"/>
                <w:color w:val="auto"/>
                <w:spacing w:val="0"/>
                <w:position w:val="0"/>
                <w:sz w:val="22"/>
                <w:shd w:fill="auto" w:val="clear"/>
              </w:rPr>
            </w:pPr>
          </w:p>
        </w:tc>
        <w:tc>
          <w:tcPr>
            <w:tcW w:w="149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ЦНСТДМУ</w:t>
            </w:r>
          </w:p>
        </w:tc>
        <w:tc>
          <w:tcPr>
            <w:tcW w:w="142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ЦНСТДБУ</w:t>
            </w:r>
          </w:p>
        </w:tc>
        <w:tc>
          <w:tcPr>
            <w:tcW w:w="106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ЦРДУ</w:t>
            </w:r>
          </w:p>
        </w:tc>
        <w:tc>
          <w:tcPr>
            <w:tcW w:w="106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111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ДЦПЛУ</w:t>
            </w:r>
          </w:p>
        </w:tc>
        <w:tc>
          <w:tcPr>
            <w:tcW w:w="12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ДЦДУ</w:t>
            </w:r>
          </w:p>
        </w:tc>
      </w:tr>
      <w:tr>
        <w:trPr>
          <w:trHeight w:val="1" w:hRule="atLeast"/>
          <w:jc w:val="left"/>
        </w:trPr>
        <w:tc>
          <w:tcPr>
            <w:tcW w:w="164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4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4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0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0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2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64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4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w:t>
            </w:r>
          </w:p>
        </w:tc>
        <w:tc>
          <w:tcPr>
            <w:tcW w:w="14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28</w:t>
            </w:r>
          </w:p>
        </w:tc>
        <w:tc>
          <w:tcPr>
            <w:tcW w:w="10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10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64</w:t>
            </w:r>
          </w:p>
        </w:tc>
        <w:tc>
          <w:tcPr>
            <w:tcW w:w="11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45</w:t>
            </w:r>
          </w:p>
        </w:tc>
        <w:tc>
          <w:tcPr>
            <w:tcW w:w="12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r>
    </w:tbl>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Интегрирани здравно-социални услуги, делегирани от държавата дейности в община Сливен: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 функционират на територията на община Сливен.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Сливен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Сливен е 82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tbl>
      <w:tblPr/>
      <w:tblGrid>
        <w:gridCol w:w="4008"/>
        <w:gridCol w:w="5052"/>
      </w:tblGrid>
      <w:tr>
        <w:trPr>
          <w:trHeight w:val="1" w:hRule="atLeast"/>
          <w:jc w:val="left"/>
        </w:trPr>
        <w:tc>
          <w:tcPr>
            <w:tcW w:w="400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05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40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ДПЛУИ</w:t>
            </w:r>
          </w:p>
        </w:tc>
        <w:tc>
          <w:tcPr>
            <w:tcW w:w="50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40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ЦНСТДМУ</w:t>
            </w:r>
          </w:p>
        </w:tc>
        <w:tc>
          <w:tcPr>
            <w:tcW w:w="50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40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ЗЖЛУИ</w:t>
            </w:r>
          </w:p>
        </w:tc>
        <w:tc>
          <w:tcPr>
            <w:tcW w:w="50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37</w:t>
            </w:r>
          </w:p>
        </w:tc>
      </w:tr>
      <w:tr>
        <w:trPr>
          <w:trHeight w:val="1" w:hRule="atLeast"/>
          <w:jc w:val="left"/>
        </w:trPr>
        <w:tc>
          <w:tcPr>
            <w:tcW w:w="40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c>
          <w:tcPr>
            <w:tcW w:w="50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r>
      <w:tr>
        <w:trPr>
          <w:trHeight w:val="1" w:hRule="atLeast"/>
          <w:jc w:val="left"/>
        </w:trPr>
        <w:tc>
          <w:tcPr>
            <w:tcW w:w="40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50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w:t>
            </w:r>
          </w:p>
        </w:tc>
      </w:tr>
    </w:tbl>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Сливен, различна от общината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Сливен, от други общини е 59.</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tbl>
      <w:tblPr/>
      <w:tblGrid>
        <w:gridCol w:w="4033"/>
        <w:gridCol w:w="5017"/>
      </w:tblGrid>
      <w:tr>
        <w:trPr>
          <w:trHeight w:val="1" w:hRule="atLeast"/>
          <w:jc w:val="left"/>
        </w:trPr>
        <w:tc>
          <w:tcPr>
            <w:tcW w:w="4033" w:type="dxa"/>
            <w:tcBorders>
              <w:top w:val="single" w:color="000000" w:sz="8"/>
              <w:left w:val="single" w:color="000000" w:sz="8"/>
              <w:bottom w:val="single" w:color="000000" w:sz="4"/>
              <w:right w:val="single" w:color="000000" w:sz="8"/>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5017" w:type="dxa"/>
            <w:tcBorders>
              <w:top w:val="single" w:color="000000" w:sz="8"/>
              <w:left w:val="single" w:color="000000" w:sz="0"/>
              <w:bottom w:val="single" w:color="000000" w:sz="4"/>
              <w:right w:val="single" w:color="000000" w:sz="8"/>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03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ЦНСТДМУ</w:t>
            </w:r>
          </w:p>
        </w:tc>
        <w:tc>
          <w:tcPr>
            <w:tcW w:w="5017"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r>
      <w:tr>
        <w:trPr>
          <w:trHeight w:val="1" w:hRule="atLeast"/>
          <w:jc w:val="left"/>
        </w:trPr>
        <w:tc>
          <w:tcPr>
            <w:tcW w:w="403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ЦНСТДБУ</w:t>
            </w:r>
          </w:p>
        </w:tc>
        <w:tc>
          <w:tcPr>
            <w:tcW w:w="5017"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r>
        <w:trPr>
          <w:trHeight w:val="1" w:hRule="atLeast"/>
          <w:jc w:val="left"/>
        </w:trPr>
        <w:tc>
          <w:tcPr>
            <w:tcW w:w="403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5017"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r>
        <w:trPr>
          <w:trHeight w:val="1" w:hRule="atLeast"/>
          <w:jc w:val="left"/>
        </w:trPr>
        <w:tc>
          <w:tcPr>
            <w:tcW w:w="403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ЦСРИДМ</w:t>
            </w:r>
          </w:p>
        </w:tc>
        <w:tc>
          <w:tcPr>
            <w:tcW w:w="5017"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403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ЗМБ</w:t>
            </w:r>
          </w:p>
        </w:tc>
        <w:tc>
          <w:tcPr>
            <w:tcW w:w="5017"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403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ДЦДУ</w:t>
            </w:r>
          </w:p>
        </w:tc>
        <w:tc>
          <w:tcPr>
            <w:tcW w:w="5017"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03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5017"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w:t>
            </w:r>
          </w:p>
        </w:tc>
      </w:tr>
      <w:tr>
        <w:trPr>
          <w:trHeight w:val="1" w:hRule="atLeast"/>
          <w:jc w:val="left"/>
        </w:trPr>
        <w:tc>
          <w:tcPr>
            <w:tcW w:w="4033"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c>
          <w:tcPr>
            <w:tcW w:w="5017"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Сливен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 петгодишния период, проследен в таблицата, населението за общината бележи леко увеличение, което е характерно в по-голяма степен за живеещите в градовете. Отрицателните стойности на естествения и механичен признак показва съществуващата демографска криза в община Сливен.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незаети щатни длъжности в услугите към момента на изготвяне на анализа. Община Сливен, в качеството си на доставчик на социалните услуги осигурява непрекъснат процес на</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професионално и кариерно развитие на всички служители работещи в услугите, като се осигурява включване в различни тематични обучения според спецификата на всяка услуга, супервизии, изпълнявани процедури по услугите за наставничество и менторство. Община Сливен, в качеството си на доставчик на социални услуги отчита трайна тенденция на дефицит на специалисти и съответно желанието им да работят в сферата на социалните услуги.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информация на ДБТ регистрираните безработни лица с медицинско образование са 18. Лицата с образование в областта на хуманитарните науки са 42, регистрираните безработни лица с предишен опит в предоставянето на социални услуги са 113.Безработни лица подходящи за работа в системата на социалните услуги по образование, професионална квалификация и професионален опит- болногледачи 4 лица, детегледачи 9 лица, образователен медиатор 3 лица, помощник възпитател 12 лица. Община Сливен не е изготвила прогноза в анализа за необходимия брой служители за извършване на дейностите по предоставяне на социални и интегрирани здравно-социални услуги</w:t>
      </w:r>
      <w:r>
        <w:rPr>
          <w:rFonts w:ascii="Times New Roman" w:hAnsi="Times New Roman" w:cs="Times New Roman" w:eastAsia="Times New Roman"/>
          <w:color w:val="000000"/>
          <w:spacing w:val="0"/>
          <w:position w:val="0"/>
          <w:sz w:val="24"/>
          <w:shd w:fill="auto" w:val="clear"/>
        </w:rPr>
        <w:t xml:space="preserve"> с оглед на оптимално им функциониране</w:t>
      </w:r>
      <w:r>
        <w:rPr>
          <w:rFonts w:ascii="Times New Roman" w:hAnsi="Times New Roman" w:cs="Times New Roman" w:eastAsia="Times New Roman"/>
          <w:color w:val="auto"/>
          <w:spacing w:val="0"/>
          <w:position w:val="0"/>
          <w:sz w:val="24"/>
          <w:shd w:fill="auto" w:val="clear"/>
        </w:rPr>
        <w:t xml:space="preserve">, в</w:t>
      </w:r>
      <w:r>
        <w:rPr>
          <w:rFonts w:ascii="Times New Roman" w:hAnsi="Times New Roman" w:cs="Times New Roman" w:eastAsia="Times New Roman"/>
          <w:color w:val="000000"/>
          <w:spacing w:val="0"/>
          <w:position w:val="0"/>
          <w:sz w:val="24"/>
          <w:shd w:fill="auto" w:val="clear"/>
        </w:rPr>
        <w:t xml:space="preserve">ъв връзка с декомпозирането на съществуващите към момента 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6167"/>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ТВЪРДИЦА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за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Твърдица информацията за настоящия анализ е изведена от: общинска администрация и местно-базираните държавни институции; събиране на допълнителна статистическа информация; срещи и дискусии на представители на общинската администрация, ДСП, общината, ДБТ и др.; ТСБ, ДБТ; ГРАО; училища, детски градини, лични лекари и други, които разполагат с информация за състоянието на свързаните сектори със социалните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Твърдица, към 07.09.2021 г. е 13 312 жители, от тях 3 638 деца до 18-годишна възраст (27,3%). Общия брой на лицата с трайни увреждания е 1 167, от тях деца 50 (4,3%).</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Твърдица са разкрити ДЦСХ в с. Сборище с капацитет 30 потребители и АП, което функционира на територията на гр. Твърдица с капацитет 33 потребители.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tbl>
      <w:tblPr/>
      <w:tblGrid>
        <w:gridCol w:w="5520"/>
        <w:gridCol w:w="1973"/>
        <w:gridCol w:w="1567"/>
      </w:tblGrid>
      <w:tr>
        <w:trPr>
          <w:trHeight w:val="1" w:hRule="atLeast"/>
          <w:jc w:val="left"/>
        </w:trPr>
        <w:tc>
          <w:tcPr>
            <w:tcW w:w="552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7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ДЦСХ</w:t>
            </w:r>
          </w:p>
        </w:tc>
        <w:tc>
          <w:tcPr>
            <w:tcW w:w="156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55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97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55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97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33</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 социални услуги на територията на община Твърдица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социалната услуга Асистентска подкрепа на територията на община Твърдица са 6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495"/>
        <w:gridCol w:w="5565"/>
      </w:tblGrid>
      <w:tr>
        <w:trPr>
          <w:trHeight w:val="1" w:hRule="atLeast"/>
          <w:jc w:val="left"/>
        </w:trPr>
        <w:tc>
          <w:tcPr>
            <w:tcW w:w="349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56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49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c>
          <w:tcPr>
            <w:tcW w:w="556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bl>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Твърдица,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Неприложим критерии за територията на община Твърдица.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Твърдица за последните 5 години</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Забелязва се постепенно увеличение, за разглеждания 5-годишен период, на населението в община Твърдица, с изключение на годините 2018 и 2019 г. Като причина за може да се изведе по-високата раждаемост за периода спрямо смъртността. Положителните стойности на естествения прираст, показват също, че в общината има благоприятни демографски тенденции. Механичния прираст в общината е отрицателен, но стойностите не са високи.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момента на изготвяне на анализа назначения персонал в различните услуги покрива изискванията за ефективно и качествено предоставяне на услугата.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Предвид това община Твърдица не е изготвила прогнозен брой на служителите след декомпозирането на съществуващите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6188"/>
        </w:numPr>
        <w:tabs>
          <w:tab w:val="left" w:pos="718" w:leader="none"/>
        </w:tabs>
        <w:spacing w:before="0" w:after="0" w:line="240"/>
        <w:ind w:right="0" w:left="718"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АНАЛИЗ НА ПОТРЕБНОСТИТЕ В ОБЛАСТ СЛИВЕН (обобщено)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обобщени за област Сливен по общини</w:t>
      </w:r>
    </w:p>
    <w:p>
      <w:pPr>
        <w:tabs>
          <w:tab w:val="left" w:pos="426"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общините от област Сливен в процеса на изготвяне на анализа са използвани следните източници за събиране на информация: План за интегрирано развитие на общините, обобщаване на статистически данни, събиране на допълнителна статистическа информация за разпределението на ключови рискови групи и ползватели на социални услуги по населени места; НСИ, ДБТ, ДСП, ТСБ, ГРАО, РЗИ, дирекциите, отговорни за социални, образователни и хуманитарни дейности и други; данни, документация и експертиза за действащите социални услуги в общините; училища, детски градини, лични лекари и други, които разполагат с информация за състоянието на свързаните сектори със социалните услуги, граждански организации и НПО.</w:t>
      </w:r>
    </w:p>
    <w:p>
      <w:pPr>
        <w:tabs>
          <w:tab w:val="left" w:pos="426"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област Сливен, към 31.12.2021 г. е 186 036 жители, от тях 40 811 деца до 18-годишна възраст (21,9 %). Общия брой на лицата с трайни увреждания е 14 197, от тях деца 691 (4,9%).</w:t>
      </w:r>
    </w:p>
    <w:p>
      <w:pPr>
        <w:tabs>
          <w:tab w:val="left" w:pos="426"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426"/>
        <w:jc w:val="both"/>
        <w:rPr>
          <w:rFonts w:ascii="Times New Roman" w:hAnsi="Times New Roman" w:cs="Times New Roman" w:eastAsia="Times New Roman"/>
          <w:color w:val="FF0000"/>
          <w:spacing w:val="0"/>
          <w:position w:val="0"/>
          <w:sz w:val="24"/>
          <w:shd w:fill="auto" w:val="clear"/>
        </w:rPr>
      </w:pPr>
      <w:r>
        <w:rPr>
          <w:rFonts w:ascii="Times New Roman" w:hAnsi="Times New Roman" w:cs="Times New Roman" w:eastAsia="Times New Roman"/>
          <w:color w:val="FF0000"/>
          <w:spacing w:val="0"/>
          <w:position w:val="0"/>
          <w:sz w:val="24"/>
          <w:shd w:fill="auto" w:val="clear"/>
        </w:rPr>
        <w:t xml:space="preserve">Общият брой на населението на община Чупрене, към 31.12.2021 г. е 1801 жители, </w:t>
      </w:r>
    </w:p>
    <w:p>
      <w:pPr>
        <w:spacing w:before="0" w:after="0" w:line="240"/>
        <w:ind w:right="0" w:left="0" w:firstLine="426"/>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426"/>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426"/>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426"/>
        <w:jc w:val="both"/>
        <w:rPr>
          <w:rFonts w:ascii="Times New Roman" w:hAnsi="Times New Roman" w:cs="Times New Roman" w:eastAsia="Times New Roman"/>
          <w:color w:val="FF0000"/>
          <w:spacing w:val="0"/>
          <w:position w:val="0"/>
          <w:sz w:val="24"/>
          <w:shd w:fill="auto" w:val="clear"/>
        </w:rPr>
      </w:pPr>
      <w:r>
        <w:rPr>
          <w:rFonts w:ascii="Times New Roman" w:hAnsi="Times New Roman" w:cs="Times New Roman" w:eastAsia="Times New Roman"/>
          <w:color w:val="FF0000"/>
          <w:spacing w:val="0"/>
          <w:position w:val="0"/>
          <w:sz w:val="24"/>
          <w:shd w:fill="auto" w:val="clear"/>
        </w:rPr>
        <w:t xml:space="preserve">от тях </w:t>
      </w:r>
      <w:r>
        <w:rPr>
          <w:rFonts w:ascii="Times New Roman" w:hAnsi="Times New Roman" w:cs="Times New Roman" w:eastAsia="Times New Roman"/>
          <w:color w:val="FF0000"/>
          <w:spacing w:val="0"/>
          <w:position w:val="0"/>
          <w:sz w:val="24"/>
          <w:shd w:fill="FFFF00" w:val="clear"/>
        </w:rPr>
        <w:t xml:space="preserve">258</w:t>
      </w:r>
      <w:r>
        <w:rPr>
          <w:rFonts w:ascii="Times New Roman" w:hAnsi="Times New Roman" w:cs="Times New Roman" w:eastAsia="Times New Roman"/>
          <w:color w:val="FF0000"/>
          <w:spacing w:val="0"/>
          <w:position w:val="0"/>
          <w:sz w:val="24"/>
          <w:shd w:fill="auto" w:val="clear"/>
        </w:rPr>
        <w:t xml:space="preserve"> деца до 18-годишна възраст (14,3%), броят на пълнолетните лица е </w:t>
      </w:r>
      <w:r>
        <w:rPr>
          <w:rFonts w:ascii="Times New Roman" w:hAnsi="Times New Roman" w:cs="Times New Roman" w:eastAsia="Times New Roman"/>
          <w:color w:val="FF0000"/>
          <w:spacing w:val="0"/>
          <w:position w:val="0"/>
          <w:sz w:val="24"/>
          <w:shd w:fill="FFFF00" w:val="clear"/>
        </w:rPr>
        <w:t xml:space="preserve">972</w:t>
      </w:r>
      <w:r>
        <w:rPr>
          <w:rFonts w:ascii="Times New Roman" w:hAnsi="Times New Roman" w:cs="Times New Roman" w:eastAsia="Times New Roman"/>
          <w:color w:val="FF0000"/>
          <w:spacing w:val="0"/>
          <w:position w:val="0"/>
          <w:sz w:val="24"/>
          <w:shd w:fill="auto" w:val="clear"/>
        </w:rPr>
        <w:t xml:space="preserve"> (54,0%). Общия </w:t>
      </w:r>
    </w:p>
    <w:p>
      <w:pPr>
        <w:spacing w:before="0" w:after="0" w:line="240"/>
        <w:ind w:right="0" w:left="0" w:firstLine="426"/>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426"/>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426"/>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426"/>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426"/>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426"/>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426"/>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426"/>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426"/>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426"/>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426"/>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426"/>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426"/>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426"/>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областта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брои на социалните услуги на територията на област Сливен е 27 с 1 059 потребители. Броят на социалните услуги за пълнолетни лица са 13 със 753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за деца са 14 със 306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графиките е видно, че на територията на областта преобладават услугите за резидентна грижа (ЦНСТ, ЗЖ, КЦ, ЗМБ) 8 услуги за 80 потребители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услугите в домашна среда (АП)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3 </w:t>
      </w:r>
      <w:r>
        <w:rPr>
          <w:rFonts w:ascii="Times New Roman" w:hAnsi="Times New Roman" w:cs="Times New Roman" w:eastAsia="Times New Roman"/>
          <w:color w:val="auto"/>
          <w:spacing w:val="0"/>
          <w:position w:val="0"/>
          <w:sz w:val="24"/>
          <w:shd w:fill="auto" w:val="clear"/>
        </w:rPr>
        <w:t xml:space="preserve">услуги за 475 потребители, услугите в специализирани институции за пълнолетни лица (ДСХ) 1 услуга за 54 потребители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консултативни услуги (ДЦ, ЦСРИ, ЦОП, ЦРДУ)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15 </w:t>
      </w:r>
      <w:r>
        <w:rPr>
          <w:rFonts w:ascii="Times New Roman" w:hAnsi="Times New Roman" w:cs="Times New Roman" w:eastAsia="Times New Roman"/>
          <w:color w:val="auto"/>
          <w:spacing w:val="0"/>
          <w:position w:val="0"/>
          <w:sz w:val="24"/>
          <w:shd w:fill="auto" w:val="clear"/>
        </w:rPr>
        <w:t xml:space="preserve">услуги за 450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пълнолетни лица да ползват социални и интегрирани здравно- социални услуги на територията на област Сливен</w:t>
      </w:r>
    </w:p>
    <w:tbl>
      <w:tblPr/>
      <w:tblGrid>
        <w:gridCol w:w="4037"/>
        <w:gridCol w:w="5023"/>
      </w:tblGrid>
      <w:tr>
        <w:trPr>
          <w:trHeight w:val="1" w:hRule="atLeast"/>
          <w:jc w:val="left"/>
        </w:trPr>
        <w:tc>
          <w:tcPr>
            <w:tcW w:w="403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02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c>
          <w:tcPr>
            <w:tcW w:w="50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43</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50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28</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ДПЛУИ</w:t>
            </w:r>
          </w:p>
        </w:tc>
        <w:tc>
          <w:tcPr>
            <w:tcW w:w="50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ЦНСТДМУ</w:t>
            </w:r>
          </w:p>
        </w:tc>
        <w:tc>
          <w:tcPr>
            <w:tcW w:w="50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ЗЖЛУИ</w:t>
            </w:r>
          </w:p>
        </w:tc>
        <w:tc>
          <w:tcPr>
            <w:tcW w:w="50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37</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Общо</w:t>
            </w:r>
          </w:p>
        </w:tc>
        <w:tc>
          <w:tcPr>
            <w:tcW w:w="50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115</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Общо 115 лица са включени в списъците на чакащите за ползване на социални услуги в териториалния обхват на област Сливен. Голям е и броят на лицата за включване в Асистентска подкрепа.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област Сливен, различна от  общината по настоящ адрес</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635"/>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и интегрирани здравно-социални услуги на територията на област Сливен, различна от общината по настоящ адрес е 80. Най-голям е техният брой в социалните услуги на територията на общините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Сливен, следвана от общините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Нова Загора и Котел, а в община Твърдица няма потребители от други общини.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635"/>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635"/>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област Сливен за последните 5 години</w:t>
      </w: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Анализа на данните на демографското развитие в област Сливен за периода 2017 г.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2021 </w:t>
      </w:r>
      <w:r>
        <w:rPr>
          <w:rFonts w:ascii="Times New Roman" w:hAnsi="Times New Roman" w:cs="Times New Roman" w:eastAsia="Times New Roman"/>
          <w:color w:val="auto"/>
          <w:spacing w:val="0"/>
          <w:position w:val="0"/>
          <w:sz w:val="24"/>
          <w:shd w:fill="auto" w:val="clear"/>
        </w:rPr>
        <w:t xml:space="preserve">г. показва намаление на броя на населението във общините Котел и Нова Загора и увеличение на населението в общините Сливен и Твърдица. </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Във всички общини се отчита ниска раждаемост, висока смъртност и отрицателен естествен прираст. Прогресивно намаляване на относителния дял на лицата в трудоспособна възраст, висок брой на хората с увреждания, самотно живеещите стари хора от  селата в общината, с невъзможност за самообслужване.</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Изключение от общата картина е община Твърдица, където населението се увеличава и раждаемостта също.</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Част от социалните услуги в областта са обезпечени със служители, необходими за предоставянето им. Общините са използвали различни възможности за наемане на служителите за извършване на дейностите.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Отчита се недостиг на квалифицирани медицински специалисти, както и лица с подходящо образование в сферата на социалните услуги. Видно от предоставената информация от ДБТ няма регистрирани безработни, търсещи работа квалифицирани служители.</w:t>
      </w:r>
    </w:p>
    <w:p>
      <w:pPr>
        <w:spacing w:before="0" w:after="0" w:line="240"/>
        <w:ind w:right="33"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Общините Котел и Сливен не са изготвили прогноза в анализа за необходимия брой служители за извършване на дейностите по предоставяне на социални и интегрирани здравно-социални услуги</w:t>
      </w:r>
      <w:r>
        <w:rPr>
          <w:rFonts w:ascii="Times New Roman" w:hAnsi="Times New Roman" w:cs="Times New Roman" w:eastAsia="Times New Roman"/>
          <w:color w:val="000000"/>
          <w:spacing w:val="0"/>
          <w:position w:val="0"/>
          <w:sz w:val="24"/>
          <w:shd w:fill="auto" w:val="clear"/>
        </w:rPr>
        <w:t xml:space="preserve"> с оглед на оптимално им функциониране</w:t>
      </w:r>
      <w:r>
        <w:rPr>
          <w:rFonts w:ascii="Times New Roman" w:hAnsi="Times New Roman" w:cs="Times New Roman" w:eastAsia="Times New Roman"/>
          <w:color w:val="auto"/>
          <w:spacing w:val="0"/>
          <w:position w:val="0"/>
          <w:sz w:val="24"/>
          <w:shd w:fill="auto" w:val="clear"/>
        </w:rPr>
        <w:t xml:space="preserve">, в</w:t>
      </w:r>
      <w:r>
        <w:rPr>
          <w:rFonts w:ascii="Times New Roman" w:hAnsi="Times New Roman" w:cs="Times New Roman" w:eastAsia="Times New Roman"/>
          <w:color w:val="000000"/>
          <w:spacing w:val="0"/>
          <w:position w:val="0"/>
          <w:sz w:val="24"/>
          <w:shd w:fill="auto" w:val="clear"/>
        </w:rPr>
        <w:t xml:space="preserve">ъв връзка с декомпозирането на съществуващите към момента социални услуги на територията на общината.</w:t>
      </w:r>
    </w:p>
    <w:p>
      <w:pPr>
        <w:spacing w:before="0" w:after="0" w:line="240"/>
        <w:ind w:right="33"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Сливен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Във основа на направения анализ на състоянието на социалните услуги на територията на областта и очерталите се тенденции, могат да се направят следните изводи:</w:t>
      </w:r>
    </w:p>
    <w:p>
      <w:pPr>
        <w:numPr>
          <w:ilvl w:val="0"/>
          <w:numId w:val="6226"/>
        </w:numPr>
        <w:tabs>
          <w:tab w:val="left" w:pos="270" w:leader="none"/>
          <w:tab w:val="left" w:pos="993"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има голям брой социални услуги за резидентна грижа за пълнолетни лица.</w:t>
      </w:r>
    </w:p>
    <w:p>
      <w:pPr>
        <w:numPr>
          <w:ilvl w:val="0"/>
          <w:numId w:val="6226"/>
        </w:numPr>
        <w:tabs>
          <w:tab w:val="left" w:pos="270" w:leader="none"/>
          <w:tab w:val="left" w:pos="993"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социални услуги, които да са изчерпили своята необходимост;</w:t>
      </w:r>
    </w:p>
    <w:p>
      <w:pPr>
        <w:numPr>
          <w:ilvl w:val="0"/>
          <w:numId w:val="6226"/>
        </w:numPr>
        <w:tabs>
          <w:tab w:val="left" w:pos="270" w:leader="none"/>
          <w:tab w:val="left" w:pos="993"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Недостатъчен е броят на услугите за дневна и почасова грижа и подкрепа, особено за пълнолетните и възрастните лица, които имат трудност сами да организират ежедневието си;</w:t>
      </w:r>
    </w:p>
    <w:p>
      <w:pPr>
        <w:numPr>
          <w:ilvl w:val="0"/>
          <w:numId w:val="6226"/>
        </w:numPr>
        <w:tabs>
          <w:tab w:val="left" w:pos="993"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Например в община Котел е голям делът на децата, които въпреки, че живеят в своите семейства са във висок риск поради това, че родителите им нямат нужния капацитет и децата са социално занемарени. При тези деца съществуват заплахи: за здравето и развитието им, отпадането им от училище, невъзможност за интеграция поради липсващ родителски контрол и грижа , ранни бракове и забременяване, конфликт със закона. В този смисъл предложените брой потребители /места по съответните дейности съгласно чл. 15 от ЗСУ ще осигури възможности за индивидуална работа с децата и техните семейства, семейно консултиране и подкрепа, обучение в родителски умения, образователни дейности и дейности свързани с насърчаване на социалното, емоционалното, познавателното и физическо развитие на децата и повишаване на тяхната готовност за включване в задължителна предучилищна подготовка.</w:t>
      </w:r>
    </w:p>
    <w:p>
      <w:pPr>
        <w:numPr>
          <w:ilvl w:val="0"/>
          <w:numId w:val="6226"/>
        </w:numPr>
        <w:tabs>
          <w:tab w:val="left" w:pos="270" w:leader="none"/>
          <w:tab w:val="left" w:pos="993"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Осигуряването на равен достъп до услуги на всички нуждаещи се чрез планиране на социални услуги, съгласно реалните потребности и нужди и равномерно разпределение на социалните услуги на територията на област Сливен са съществена част от политиките на областната и общинските администрации.</w:t>
      </w:r>
    </w:p>
    <w:p>
      <w:pPr>
        <w:tabs>
          <w:tab w:val="left" w:pos="270" w:leader="none"/>
          <w:tab w:val="left" w:pos="993"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6230"/>
        </w:numPr>
        <w:tabs>
          <w:tab w:val="left" w:pos="718" w:leader="none"/>
        </w:tabs>
        <w:spacing w:before="0" w:after="0" w:line="240"/>
        <w:ind w:right="0" w:left="718" w:hanging="576"/>
        <w:jc w:val="both"/>
        <w:rPr>
          <w:rFonts w:ascii="Times New Roman" w:hAnsi="Times New Roman" w:cs="Times New Roman" w:eastAsia="Times New Roman"/>
          <w:b/>
          <w:color w:val="003366"/>
          <w:spacing w:val="0"/>
          <w:position w:val="0"/>
          <w:sz w:val="28"/>
          <w:shd w:fill="auto" w:val="clear"/>
        </w:rPr>
      </w:pPr>
      <w:r>
        <w:rPr>
          <w:rFonts w:ascii="Times New Roman" w:hAnsi="Times New Roman" w:cs="Times New Roman" w:eastAsia="Times New Roman"/>
          <w:b/>
          <w:color w:val="003366"/>
          <w:spacing w:val="0"/>
          <w:position w:val="0"/>
          <w:sz w:val="28"/>
          <w:shd w:fill="auto" w:val="clear"/>
        </w:rPr>
        <w:t xml:space="preserve">ОБЛАСТ ЯМБОЛ </w:t>
      </w:r>
    </w:p>
    <w:p>
      <w:pPr>
        <w:keepNext w:val="true"/>
        <w:numPr>
          <w:ilvl w:val="0"/>
          <w:numId w:val="6230"/>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БОЛЯРОВО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Болярово информацията за населението по настоящ адрес е получена от информационна система ГРАО, Отдел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Статистически изследвания“ гр. Ямбол и от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Болярово, към 31.12.2021 г. е 3435 жители, от тях 512 деца до 18-годишна възраст (15%). Общия брой на лицата с трайни увреждания е 412, от тях деца 6 (1,5 %).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Болярово са разкрити 9 социални услуги, от тях 4 се предоставят в гр. Болярово, 2 в с. Мамарчево и 2 в с. Малко шарково и 1 с. Воден, Общият капацитет на социалните услуги е за 208 потребители, в т.ч. 21 асистентска подкрепа, 30 в Дом за стари хора и 85 в ДПЛУИ.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887"/>
        <w:gridCol w:w="887"/>
        <w:gridCol w:w="1321"/>
        <w:gridCol w:w="1314"/>
        <w:gridCol w:w="1935"/>
        <w:gridCol w:w="1716"/>
      </w:tblGrid>
      <w:tr>
        <w:trPr>
          <w:trHeight w:val="1" w:hRule="atLeast"/>
          <w:jc w:val="left"/>
        </w:trPr>
        <w:tc>
          <w:tcPr>
            <w:tcW w:w="188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88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132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13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ЗЖЛФУ</w:t>
            </w:r>
          </w:p>
        </w:tc>
        <w:tc>
          <w:tcPr>
            <w:tcW w:w="193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ЦНСТПЛФУ</w:t>
            </w:r>
          </w:p>
        </w:tc>
        <w:tc>
          <w:tcPr>
            <w:tcW w:w="171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ЦНСТПЛД</w:t>
            </w:r>
          </w:p>
        </w:tc>
      </w:tr>
      <w:tr>
        <w:trPr>
          <w:trHeight w:val="1" w:hRule="atLeast"/>
          <w:jc w:val="left"/>
        </w:trPr>
        <w:tc>
          <w:tcPr>
            <w:tcW w:w="18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8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3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31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93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1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8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8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3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c>
          <w:tcPr>
            <w:tcW w:w="131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93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71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bl>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tbl>
      <w:tblPr/>
      <w:tblGrid>
        <w:gridCol w:w="3157"/>
        <w:gridCol w:w="2501"/>
        <w:gridCol w:w="1180"/>
        <w:gridCol w:w="2222"/>
      </w:tblGrid>
      <w:tr>
        <w:trPr>
          <w:trHeight w:val="1" w:hRule="atLeast"/>
          <w:jc w:val="left"/>
        </w:trPr>
        <w:tc>
          <w:tcPr>
            <w:tcW w:w="315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50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ЦСРИПЛ</w:t>
            </w:r>
          </w:p>
        </w:tc>
        <w:tc>
          <w:tcPr>
            <w:tcW w:w="118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222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ДПЛУИ</w:t>
            </w:r>
          </w:p>
        </w:tc>
      </w:tr>
      <w:tr>
        <w:trPr>
          <w:trHeight w:val="1" w:hRule="atLeast"/>
          <w:jc w:val="left"/>
        </w:trPr>
        <w:tc>
          <w:tcPr>
            <w:tcW w:w="31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50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2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1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50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c>
          <w:tcPr>
            <w:tcW w:w="11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21</w:t>
            </w:r>
          </w:p>
        </w:tc>
        <w:tc>
          <w:tcPr>
            <w:tcW w:w="22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85</w:t>
            </w:r>
          </w:p>
        </w:tc>
      </w:tr>
    </w:tbl>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Болярово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Болярово е 109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 </w:t>
      </w:r>
    </w:p>
    <w:tbl>
      <w:tblPr/>
      <w:tblGrid>
        <w:gridCol w:w="4492"/>
        <w:gridCol w:w="4568"/>
      </w:tblGrid>
      <w:tr>
        <w:trPr>
          <w:trHeight w:val="1" w:hRule="atLeast"/>
          <w:jc w:val="left"/>
        </w:trPr>
        <w:tc>
          <w:tcPr>
            <w:tcW w:w="449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456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449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ЦНСТПЛД</w:t>
            </w:r>
          </w:p>
        </w:tc>
        <w:tc>
          <w:tcPr>
            <w:tcW w:w="456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27</w:t>
            </w:r>
          </w:p>
        </w:tc>
      </w:tr>
      <w:tr>
        <w:trPr>
          <w:trHeight w:val="1" w:hRule="atLeast"/>
          <w:jc w:val="left"/>
        </w:trPr>
        <w:tc>
          <w:tcPr>
            <w:tcW w:w="449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ЦНСТПЛФУ</w:t>
            </w:r>
          </w:p>
        </w:tc>
        <w:tc>
          <w:tcPr>
            <w:tcW w:w="456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49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ЦНСТПЛУИ</w:t>
            </w:r>
          </w:p>
        </w:tc>
        <w:tc>
          <w:tcPr>
            <w:tcW w:w="456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w:t>
            </w:r>
          </w:p>
        </w:tc>
      </w:tr>
      <w:tr>
        <w:trPr>
          <w:trHeight w:val="1" w:hRule="atLeast"/>
          <w:jc w:val="left"/>
        </w:trPr>
        <w:tc>
          <w:tcPr>
            <w:tcW w:w="449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ЗЖЛУИ</w:t>
            </w:r>
          </w:p>
        </w:tc>
        <w:tc>
          <w:tcPr>
            <w:tcW w:w="456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28</w:t>
            </w:r>
          </w:p>
        </w:tc>
      </w:tr>
      <w:tr>
        <w:trPr>
          <w:trHeight w:val="1" w:hRule="atLeast"/>
          <w:jc w:val="left"/>
        </w:trPr>
        <w:tc>
          <w:tcPr>
            <w:tcW w:w="449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ЗЖЛФУ</w:t>
            </w:r>
          </w:p>
        </w:tc>
        <w:tc>
          <w:tcPr>
            <w:tcW w:w="456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449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ДПЛУИ</w:t>
            </w:r>
          </w:p>
        </w:tc>
        <w:tc>
          <w:tcPr>
            <w:tcW w:w="456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w:t>
            </w:r>
          </w:p>
        </w:tc>
      </w:tr>
      <w:tr>
        <w:trPr>
          <w:trHeight w:val="1" w:hRule="atLeast"/>
          <w:jc w:val="left"/>
        </w:trPr>
        <w:tc>
          <w:tcPr>
            <w:tcW w:w="449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Асистентска подкрепа</w:t>
            </w:r>
          </w:p>
        </w:tc>
        <w:tc>
          <w:tcPr>
            <w:tcW w:w="456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bl>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Болярово,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общия капацитет на разкритите социални и здравно-социални услуги, делегирани държавни дейности на територията на община Болярово се установи, че 145 потребители са от други общини, разпределени както следва: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934"/>
        <w:gridCol w:w="4126"/>
      </w:tblGrid>
      <w:tr>
        <w:trPr>
          <w:trHeight w:val="1" w:hRule="atLeast"/>
          <w:jc w:val="left"/>
        </w:trPr>
        <w:tc>
          <w:tcPr>
            <w:tcW w:w="493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12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9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ДПЛУИ</w:t>
            </w:r>
          </w:p>
        </w:tc>
        <w:tc>
          <w:tcPr>
            <w:tcW w:w="41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85</w:t>
            </w:r>
          </w:p>
        </w:tc>
      </w:tr>
      <w:tr>
        <w:trPr>
          <w:trHeight w:val="1" w:hRule="atLeast"/>
          <w:jc w:val="left"/>
        </w:trPr>
        <w:tc>
          <w:tcPr>
            <w:tcW w:w="49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ЗЖЛУИ</w:t>
            </w:r>
          </w:p>
        </w:tc>
        <w:tc>
          <w:tcPr>
            <w:tcW w:w="41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r>
      <w:tr>
        <w:trPr>
          <w:trHeight w:val="1" w:hRule="atLeast"/>
          <w:jc w:val="left"/>
        </w:trPr>
        <w:tc>
          <w:tcPr>
            <w:tcW w:w="49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ЗЖЛФУ</w:t>
            </w:r>
          </w:p>
        </w:tc>
        <w:tc>
          <w:tcPr>
            <w:tcW w:w="41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r>
        <w:trPr>
          <w:trHeight w:val="1" w:hRule="atLeast"/>
          <w:jc w:val="left"/>
        </w:trPr>
        <w:tc>
          <w:tcPr>
            <w:tcW w:w="49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ЦНСТЛД</w:t>
            </w:r>
          </w:p>
        </w:tc>
        <w:tc>
          <w:tcPr>
            <w:tcW w:w="41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r>
        <w:trPr>
          <w:trHeight w:val="1" w:hRule="atLeast"/>
          <w:jc w:val="left"/>
        </w:trPr>
        <w:tc>
          <w:tcPr>
            <w:tcW w:w="49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ЦНСТФУ</w:t>
            </w:r>
          </w:p>
        </w:tc>
        <w:tc>
          <w:tcPr>
            <w:tcW w:w="41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1" w:hRule="atLeast"/>
          <w:jc w:val="left"/>
        </w:trPr>
        <w:tc>
          <w:tcPr>
            <w:tcW w:w="49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41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r>
    </w:tbl>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Болярово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Графиката показва, намаление на общия брой на населението с тенденция към застаряване, ниска раждаемост, висока смъртност и отрицателен естествен прираст. Устойчива е тенденцията към емиграция и обезлюдяване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Болярово е успяла да обезпечи необходимите специалисти в сферата на социалните услуги. Налице е 0.5 свободен щат в социалните услуги на територията на община Болярово. Управленските кадри в делегираните дейности са с подходящо образование. По данни на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Елхово, са регистрирани следните лица с предишен опит в социалните, здравните и образователните услуги, както следва: 1лице с медицинско образование и 46 лица с предишен опит в предоставянето на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направеният анализ и декомпозирането на социалните услуги в община Болярово по чл.15 от ЗСУ отчита, че след трансформиране на социалните услуги в общината, съгласно Наредбата за качество на социалните услуги, ще е необходимо да се увеличат щатните бройки във всички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Болярово не е изготвила прогноза в анализа за необходимия брой служители за извършване на дейностите по предоставяне на социални и интегрирани здравно-социални услуги с оглед на оптимално им функциониране, във връзка с декомпозирането на съществуващите към момента 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6287"/>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ЕЛХОВО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Елхово общият брой на населението, към 31.12.2021 г. е 13 530 жители, от тях 2191 деца до 18-годишна възраст (16 %). Общия брой на лицата с трайни увреждания е 1327, от тях деца 86 (6,5 %). Информацията за населението по настоящ адрес е получена от Териториално статистическо бюро- Ямбол, РУО- Ямбол, общинска администрация, ДСП- Елхово, ДБТ- Елхово, РЗИ- Ямбол.</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Елхово са разкрити 6 социални услуги, от тях 5 се предоставят в гр. Елхово, и 1 в с. Чернозем. Общият капацитет на социалните услуги е за 130 потребители, в т.ч. 23 асистентска подкрепа и 16 в Дом за стари хора.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842"/>
        <w:gridCol w:w="1048"/>
        <w:gridCol w:w="1613"/>
        <w:gridCol w:w="1714"/>
        <w:gridCol w:w="1290"/>
        <w:gridCol w:w="864"/>
        <w:gridCol w:w="689"/>
      </w:tblGrid>
      <w:tr>
        <w:trPr>
          <w:trHeight w:val="1" w:hRule="atLeast"/>
          <w:jc w:val="left"/>
        </w:trPr>
        <w:tc>
          <w:tcPr>
            <w:tcW w:w="184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04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w:t>
            </w:r>
          </w:p>
        </w:tc>
        <w:tc>
          <w:tcPr>
            <w:tcW w:w="161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17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129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86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68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184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0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61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1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6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84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0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35</w:t>
            </w:r>
          </w:p>
        </w:tc>
        <w:tc>
          <w:tcPr>
            <w:tcW w:w="161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71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12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8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c>
          <w:tcPr>
            <w:tcW w:w="6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51</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Елхово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Елхово е 21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ЦНСТПЛД</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ЦНСТПЛФУ</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ЦНСТПЛУИ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ЗЖЛУИ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Елхово,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Елхово, от други общини е 24.</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ЦНСТДБУ</w:t>
            </w:r>
          </w:p>
        </w:tc>
        <w:tc>
          <w:tcPr>
            <w:tcW w:w="4514"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ЗЖЛУИ</w:t>
            </w:r>
          </w:p>
        </w:tc>
        <w:tc>
          <w:tcPr>
            <w:tcW w:w="4514"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4514"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ЦНСТДМУ</w:t>
            </w:r>
          </w:p>
        </w:tc>
        <w:tc>
          <w:tcPr>
            <w:tcW w:w="4514"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Елхово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Графиката показва, намаление на общия брой на населението на общината. Високите стойности на смъртността и относително невисоките стойности на раждаемост водят до отрицателен естествен прираст за територията на община Елхово. Показателите за механичния прираст на населението показват запазване на тенденцията за увеличаване на външните миграции, предизвикани от лошата икономическа обстановка и високия процент на безработица.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Малък е броя на незаетите позиции в социалните услуги на територията на общината-5 щатни бройки. Броят на назначени служители в социалните услуги държавно делегираните дейности са 52 лица, към момента на извършването на анализа по утвърдените щатни разписания във всяка услуга. Въз основа на определените минимални изисквания в стандартите за качество по НКСУ на социалните услуги, касаещи броя и квалификацията на необходимите служители и с  оглед на оптимално функциониране на социалните и интегрираните здравно-социални услуги прогнозен брой на служителите е 65. По предоставена от АЗ информация за регистрирани лица с медицинско образование, лица с образование в областта на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Хуманитарните науки“ и лица с предишен опит в социалните услуги са общо 7.</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6324"/>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СТРАЛДЖА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Стралджа информацията за населението по настоящ адрес е получена от НСИ и информационна система ГРАО.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Стралджа, към 31.12.2021 г. е 11 331 жители, от тях 2776 деца до 18-годишна възраст (24,5%). Общия брой на лицата с трайни увреждания е 852, от тях деца 52 (6,1%).</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Стралджа са разкрити 4 социални услуги, от тях 3 се предоставят в гр. Стралджа и 1 в с. Маленово. Общият капацитет на социалните услуги е за 150 потребители, в т.ч. 40 асистентска подкрепа.</w:t>
      </w:r>
    </w:p>
    <w:tbl>
      <w:tblPr/>
      <w:tblGrid>
        <w:gridCol w:w="3893"/>
        <w:gridCol w:w="2058"/>
        <w:gridCol w:w="1759"/>
        <w:gridCol w:w="1350"/>
      </w:tblGrid>
      <w:tr>
        <w:trPr>
          <w:trHeight w:val="1" w:hRule="atLeast"/>
          <w:jc w:val="left"/>
        </w:trPr>
        <w:tc>
          <w:tcPr>
            <w:tcW w:w="389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05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w:t>
            </w:r>
          </w:p>
        </w:tc>
        <w:tc>
          <w:tcPr>
            <w:tcW w:w="175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135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389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05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5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3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89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05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38</w:t>
            </w:r>
          </w:p>
        </w:tc>
        <w:tc>
          <w:tcPr>
            <w:tcW w:w="175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13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r>
    </w:tbl>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Стралджа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Стралджа са 16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ЦНСТПЛД</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ЦНСТПЛФУ</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bl>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Стралджа, различна от  общината по настоящ адрес</w:t>
      </w: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Стралджа, от други общини е 50</w:t>
      </w:r>
      <w:r>
        <w:rPr>
          <w:rFonts w:ascii="Times New Roman" w:hAnsi="Times New Roman" w:cs="Times New Roman" w:eastAsia="Times New Roman"/>
          <w:i/>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tbl>
      <w:tblPr/>
      <w:tblGrid>
        <w:gridCol w:w="4263"/>
        <w:gridCol w:w="4787"/>
      </w:tblGrid>
      <w:tr>
        <w:trPr>
          <w:trHeight w:val="1" w:hRule="atLeast"/>
          <w:jc w:val="left"/>
        </w:trPr>
        <w:tc>
          <w:tcPr>
            <w:tcW w:w="4263" w:type="dxa"/>
            <w:tcBorders>
              <w:top w:val="single" w:color="000000" w:sz="8"/>
              <w:left w:val="single" w:color="000000" w:sz="8"/>
              <w:bottom w:val="single" w:color="000000" w:sz="8"/>
              <w:right w:val="single" w:color="000000" w:sz="8"/>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787" w:type="dxa"/>
            <w:tcBorders>
              <w:top w:val="single" w:color="000000" w:sz="8"/>
              <w:left w:val="single" w:color="000000" w:sz="0"/>
              <w:bottom w:val="single" w:color="000000" w:sz="8"/>
              <w:right w:val="single" w:color="000000" w:sz="8"/>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263" w:type="dxa"/>
            <w:tcBorders>
              <w:top w:val="single" w:color="000000" w:sz="0"/>
              <w:left w:val="single" w:color="000000" w:sz="8"/>
              <w:bottom w:val="single" w:color="000000" w:sz="8"/>
              <w:right w:val="single" w:color="000000" w:sz="8"/>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ДПЛУИ</w:t>
            </w:r>
          </w:p>
        </w:tc>
        <w:tc>
          <w:tcPr>
            <w:tcW w:w="4787" w:type="dxa"/>
            <w:tcBorders>
              <w:top w:val="single" w:color="000000" w:sz="0"/>
              <w:left w:val="single" w:color="000000" w:sz="0"/>
              <w:bottom w:val="single" w:color="000000" w:sz="8"/>
              <w:right w:val="single" w:color="000000" w:sz="8"/>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50</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Стралджа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резултат на установилите се през последните години неблагоприятни тенденции в развитието на демографските процеси, броят на населението продължава да намалява. Най-сериозните проблеми на общината са свързани с намаляващото и застаряващо население, ниската раждаемост и липсата на предприятия които да осигуряват заетост на безработните лица в работоспособна възраст.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Стралджа не разполага с необходимите специалисти в сферата на социалните услуги. Налице са 3 незаети щатни бройки. Пряко ангажираните с обслужването на потребителите преобладаващо са със средно общо образование, като за повишаване на квалификацията им общината осигурява участието им в обучения и супервизии.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Въз основа на определените минимални изисквания в стандартите за качество по НКСУ на социалните услуги, касаещи броя и квалификацията на необходимите служители и с  оглед на оптимално функциониране на социалните и интегрираните здравно-социални услуги прогнозен брой на служителите е 1 щатна бройка. По данни на административната статистика на АЗ няма регистрирани търсещи работа лица с лица, притежаващи образование в областите “Здравеопазване“ 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Хуманитарни дейности“.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6353"/>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ТУНДЖА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за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Тунджа информацията за населението по настоящ адрес е получена от информационна система ГРАО,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НСИ, както и от социалните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Тунджа, към 31.12.2021 г. е 22409 жители, от тях 3623 деца до 18-годишна възраст (16,2%). Общия брой на лицата с трайни увреждания е 2353, от тях деца 90 (3,80%).</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Тунджа са разкрити 6 социални услуги, от тях 1 се предоставят в с. Веселиново, 1 в с. Ген. Инзово и 1 с. Скалица, 1 в с.Калчево, 1 с.Болярско. Общият капацитет на социалните услуги е за 227 потребители, в т.ч. 90 асистентска подкрепа и 30 в ДСХ.</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828"/>
        <w:gridCol w:w="1535"/>
        <w:gridCol w:w="1335"/>
        <w:gridCol w:w="1122"/>
        <w:gridCol w:w="1122"/>
        <w:gridCol w:w="1118"/>
      </w:tblGrid>
      <w:tr>
        <w:trPr>
          <w:trHeight w:val="1" w:hRule="atLeast"/>
          <w:jc w:val="left"/>
        </w:trPr>
        <w:tc>
          <w:tcPr>
            <w:tcW w:w="282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53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ЦСРИПЛ</w:t>
            </w:r>
          </w:p>
        </w:tc>
        <w:tc>
          <w:tcPr>
            <w:tcW w:w="133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112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ДЦСХ</w:t>
            </w:r>
          </w:p>
        </w:tc>
        <w:tc>
          <w:tcPr>
            <w:tcW w:w="112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111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r>
      <w:tr>
        <w:trPr>
          <w:trHeight w:val="1" w:hRule="atLeast"/>
          <w:jc w:val="left"/>
        </w:trPr>
        <w:tc>
          <w:tcPr>
            <w:tcW w:w="282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53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3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1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82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53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c>
          <w:tcPr>
            <w:tcW w:w="13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1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60</w:t>
            </w:r>
          </w:p>
        </w:tc>
        <w:tc>
          <w:tcPr>
            <w:tcW w:w="11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90</w:t>
            </w:r>
          </w:p>
        </w:tc>
        <w:tc>
          <w:tcPr>
            <w:tcW w:w="11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 социални услуги на територията на община Тунджа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Тунджа е 56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ДЦПЛУ</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Асистентска подкрепа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54</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Тунджа,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Тунджа, от други общини е 20.</w:t>
      </w:r>
    </w:p>
    <w:tbl>
      <w:tblPr/>
      <w:tblGrid>
        <w:gridCol w:w="4007"/>
        <w:gridCol w:w="5043"/>
      </w:tblGrid>
      <w:tr>
        <w:trPr>
          <w:trHeight w:val="1" w:hRule="atLeast"/>
          <w:jc w:val="left"/>
        </w:trPr>
        <w:tc>
          <w:tcPr>
            <w:tcW w:w="4007" w:type="dxa"/>
            <w:tcBorders>
              <w:top w:val="single" w:color="000000" w:sz="8"/>
              <w:left w:val="single" w:color="000000" w:sz="8"/>
              <w:bottom w:val="single" w:color="000000" w:sz="8"/>
              <w:right w:val="single" w:color="000000" w:sz="8"/>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5043" w:type="dxa"/>
            <w:tcBorders>
              <w:top w:val="single" w:color="000000" w:sz="8"/>
              <w:left w:val="single" w:color="000000" w:sz="0"/>
              <w:bottom w:val="single" w:color="000000" w:sz="8"/>
              <w:right w:val="single" w:color="000000" w:sz="8"/>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007"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ДЦПЛУ</w:t>
            </w:r>
          </w:p>
        </w:tc>
        <w:tc>
          <w:tcPr>
            <w:tcW w:w="5043" w:type="dxa"/>
            <w:tcBorders>
              <w:top w:val="single" w:color="000000" w:sz="8"/>
              <w:left w:val="single" w:color="000000" w:sz="0"/>
              <w:bottom w:val="single" w:color="000000" w:sz="8"/>
              <w:right w:val="single" w:color="000000" w:sz="8"/>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r>
      <w:tr>
        <w:trPr>
          <w:trHeight w:val="1" w:hRule="atLeast"/>
          <w:jc w:val="left"/>
        </w:trPr>
        <w:tc>
          <w:tcPr>
            <w:tcW w:w="4007"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5043" w:type="dxa"/>
            <w:tcBorders>
              <w:top w:val="single" w:color="000000" w:sz="8"/>
              <w:left w:val="single" w:color="000000" w:sz="0"/>
              <w:bottom w:val="single" w:color="000000" w:sz="8"/>
              <w:right w:val="single" w:color="000000" w:sz="8"/>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Тунджа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лице е леко завишаване на раждаемостта спрямо предходната година - 198 бр. родени деца през 2020 г., 208 деца - през 2021г. Този процес се наблюдава в населените места, с живеещо компактно ромско население. На общия фон се запазва тенденцията за намаляване на населението като цяло в общината, както и застаряване, което съответно рефлектира върху нейното икономическо развитие. Може да се направи изводът, че при продължаваща тенденция за намаляване на населението (в т.ч. и отлив към областен център и други по-големи населени места, с цел реализация на пазара на труда) и при продължаващо влошаване възрастовата характеристика, много села ще бъдат застрашени от обезлюдяване. Негативните демографски процеси са сходни с тези в областта, в Югоизточен район като цяло и в малките населени места в страната.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Тунджа макар и трудно успява да обезпечи необходимите специалисти в сферата на социалните услуги. Налице са 4 свободни щатни бройки. Наетите служители и специалисти притежават необходимата квалификация, но част от наетия медицински и помощен персонал са лица в над трудоспособна възраст. Пряко ангажираните с обслужването на потребителите преобладаващо са със средно общо образование, като за повишаване на квалификацията им общината осигурява участието им в обучения и супервизии.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предоставената информация от АЗ става ясно, че от общината няма регистрирани търсещи лица, притежаващи образование в областите “Здравеопазване“ 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Хуманитарни дейности“. С опит в предоставянето на социални услуги са 17 търсещи работа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Тунджа не е изготвила прогноза в анализа за необходимия брой служители за извършване на дейностите по предоставяне на социални и интегрирани здравно-социални услуги с оглед на оптимално им функциониране, във връзка с декомпозирането на съществуващите към момента 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6384"/>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ЯМБОЛ</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Показателите в общината по критериите за социални и интегрирани здравно социални услуги. По данни на община Ямбол информацията за населението по настоящ адрес е получена от НСИ, ДСП,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ГРАО“ на общината.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Ямбол, към 31.12.2021 г. е 63656 жители, от тях 14907 деца до 18-годишна възраст (23,4%). Общия брой на лицата с трайни увреждания е 6141, от тях деца 455 (14,7%).</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Ямбол са разкрити 10 социални услуги, всичките се предоставят в гр. Ямбол. Общият капацитет на социалните услуги е за 559 потребители, в т.ч. 174 асистентска подкрепа и 202 в ДСХ.</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638"/>
        <w:gridCol w:w="1102"/>
        <w:gridCol w:w="1265"/>
        <w:gridCol w:w="1475"/>
        <w:gridCol w:w="1897"/>
        <w:gridCol w:w="1683"/>
      </w:tblGrid>
      <w:tr>
        <w:trPr>
          <w:trHeight w:val="1" w:hRule="atLeast"/>
          <w:jc w:val="left"/>
        </w:trPr>
        <w:tc>
          <w:tcPr>
            <w:tcW w:w="163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10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126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w:t>
            </w:r>
          </w:p>
        </w:tc>
        <w:tc>
          <w:tcPr>
            <w:tcW w:w="147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189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ЦНСДБУ</w:t>
            </w:r>
          </w:p>
        </w:tc>
        <w:tc>
          <w:tcPr>
            <w:tcW w:w="168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ЦНСТДУ</w:t>
            </w:r>
          </w:p>
        </w:tc>
      </w:tr>
      <w:tr>
        <w:trPr>
          <w:trHeight w:val="1" w:hRule="atLeast"/>
          <w:jc w:val="left"/>
        </w:trPr>
        <w:tc>
          <w:tcPr>
            <w:tcW w:w="163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1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89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6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63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1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2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41</w:t>
            </w:r>
          </w:p>
        </w:tc>
        <w:tc>
          <w:tcPr>
            <w:tcW w:w="14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50</w:t>
            </w:r>
          </w:p>
        </w:tc>
        <w:tc>
          <w:tcPr>
            <w:tcW w:w="189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c>
          <w:tcPr>
            <w:tcW w:w="16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tbl>
      <w:tblPr/>
      <w:tblGrid>
        <w:gridCol w:w="1649"/>
        <w:gridCol w:w="2196"/>
        <w:gridCol w:w="2196"/>
        <w:gridCol w:w="1647"/>
        <w:gridCol w:w="1372"/>
      </w:tblGrid>
      <w:tr>
        <w:trPr>
          <w:trHeight w:val="1" w:hRule="atLeast"/>
          <w:jc w:val="left"/>
        </w:trPr>
        <w:tc>
          <w:tcPr>
            <w:tcW w:w="164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19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ЦНСТМУ</w:t>
            </w:r>
          </w:p>
        </w:tc>
        <w:tc>
          <w:tcPr>
            <w:tcW w:w="219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ЗЖЛУИ</w:t>
            </w:r>
          </w:p>
        </w:tc>
        <w:tc>
          <w:tcPr>
            <w:tcW w:w="164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137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left"/>
        </w:trPr>
        <w:tc>
          <w:tcPr>
            <w:tcW w:w="164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1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21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6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3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64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1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28</w:t>
            </w:r>
          </w:p>
        </w:tc>
        <w:tc>
          <w:tcPr>
            <w:tcW w:w="21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6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202</w:t>
            </w:r>
          </w:p>
        </w:tc>
        <w:tc>
          <w:tcPr>
            <w:tcW w:w="13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174</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Ямбол</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Ямбол е 28</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ЦНСТДМУ</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ЗЖЛУИ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bl>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Ямбол, различна от общината по настоящ адрес</w:t>
      </w:r>
    </w:p>
    <w:tbl>
      <w:tblPr/>
      <w:tblGrid>
        <w:gridCol w:w="4012"/>
        <w:gridCol w:w="5048"/>
      </w:tblGrid>
      <w:tr>
        <w:trPr>
          <w:trHeight w:val="1" w:hRule="atLeast"/>
          <w:jc w:val="left"/>
        </w:trPr>
        <w:tc>
          <w:tcPr>
            <w:tcW w:w="401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504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012"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ЦНСТМУ</w:t>
            </w:r>
          </w:p>
        </w:tc>
        <w:tc>
          <w:tcPr>
            <w:tcW w:w="5048"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r>
      <w:tr>
        <w:trPr>
          <w:trHeight w:val="1" w:hRule="atLeast"/>
          <w:jc w:val="left"/>
        </w:trPr>
        <w:tc>
          <w:tcPr>
            <w:tcW w:w="4012"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ЗЖЛУИ</w:t>
            </w:r>
          </w:p>
        </w:tc>
        <w:tc>
          <w:tcPr>
            <w:tcW w:w="5048"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r>
        <w:trPr>
          <w:trHeight w:val="1" w:hRule="atLeast"/>
          <w:jc w:val="left"/>
        </w:trPr>
        <w:tc>
          <w:tcPr>
            <w:tcW w:w="4012"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ЦНСТДУ</w:t>
            </w:r>
          </w:p>
        </w:tc>
        <w:tc>
          <w:tcPr>
            <w:tcW w:w="5048"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r>
        <w:trPr>
          <w:trHeight w:val="1" w:hRule="atLeast"/>
          <w:jc w:val="left"/>
        </w:trPr>
        <w:tc>
          <w:tcPr>
            <w:tcW w:w="4012"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ЦНСТДБУ</w:t>
            </w:r>
          </w:p>
        </w:tc>
        <w:tc>
          <w:tcPr>
            <w:tcW w:w="5048"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r>
        <w:trPr>
          <w:trHeight w:val="1" w:hRule="atLeast"/>
          <w:jc w:val="left"/>
        </w:trPr>
        <w:tc>
          <w:tcPr>
            <w:tcW w:w="4012"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ДЦДМУ</w:t>
            </w:r>
          </w:p>
        </w:tc>
        <w:tc>
          <w:tcPr>
            <w:tcW w:w="5048"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012"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5048"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012"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5048"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77</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Ямбол има 123 лица от други населени места, които да ползват социални услуги.</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Ямбол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Като резултат от наблюдаваното цялостно негативно демографско развитие, ситуацията на общинско ниво не е изключение от проявяващите се неблагоприятни тенденции, характеризиращи демографското развитие на националната територия. Анализът акцентира върху състоянието на човешките ресурси, в контекста на тяхната роля и значимост на ключов елемент за развитието на дадена територия. Стойностите на показателите за динамика на населението, раждаемост, смъртност, естествен и механичен прираст разкриват, че територията на община Ямбол не прави изключение от негативната тенденция на демографско развитие на национално ниво.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на територията на община Ямбол разполагат с достатъчен и квалифициран персонал. Услугите функционират оптимално съобразно определените минимални изисквания за стандартите за качество на социалните услуги. При планирането на нови социални услуги, Община Ямбол ще изготви длъжностно щатно разписание според определения капацитет и изискванията на Наредбата за качество на социалните услуги. Общият брой работни места, в съответствие с утвърдените актуални щатни разписания в социалните услуги, предоставяни от Община Ямбол е 224,75 щатни бройки. Общият брой на заетите работни места в социалните услуги е 212.75 щатни бройки. Незаети щатни брой са 12 в социалните услуги на територията на община Ямбол.</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АЗ броят на регистрираните търсещи работа лица с медицинско образование са 5 лица, а с хуманитарно образование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33 </w:t>
      </w:r>
      <w:r>
        <w:rPr>
          <w:rFonts w:ascii="Times New Roman" w:hAnsi="Times New Roman" w:cs="Times New Roman" w:eastAsia="Times New Roman"/>
          <w:color w:val="auto"/>
          <w:spacing w:val="0"/>
          <w:position w:val="0"/>
          <w:sz w:val="24"/>
          <w:shd w:fill="auto" w:val="clear"/>
        </w:rPr>
        <w:t xml:space="preserve">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Ямбол не е изготвила прогноза в анализа за необходимия брой служители за извършване на дейностите по предоставяне на социални и интегрирани здравно-социални услуги с оглед на оптимално им функциониране, във връзка с декомпозирането на съществуващите към момента 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6434"/>
        </w:numPr>
        <w:tabs>
          <w:tab w:val="left" w:pos="718" w:leader="none"/>
        </w:tabs>
        <w:spacing w:before="0" w:after="0" w:line="240"/>
        <w:ind w:right="0" w:left="718"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АНАЛИЗ НА ПОТРЕБНОСТИТЕ В ОБЛАСТ ЯМБОЛ (обобщено)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общините от област Ямбол информацията за населението критериите съгласно Наредбата за планиране на социалните услуги е получена от информационна система ГРАО на общините, Агенция за хората с увреждания, РЗИ, от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от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 кметове и кметски наместници, училища, лечебни заведения, социални услуги и др.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обобщени за област Ямбол по общини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област Ямбол, към 31.12.2021 г. е 114361 жители, от тях 24 009 деца до 18-годишна възраст (21 %). Общия брой на лицата с трайни увреждания е 11113, от тях деца 689 (6,2%).</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ab/>
      </w:r>
      <w:r>
        <w:rPr>
          <w:rFonts w:ascii="Times New Roman" w:hAnsi="Times New Roman" w:cs="Times New Roman" w:eastAsia="Times New Roman"/>
          <w:i/>
          <w:color w:val="auto"/>
          <w:spacing w:val="0"/>
          <w:position w:val="0"/>
          <w:sz w:val="24"/>
          <w:shd w:fill="auto" w:val="clear"/>
        </w:rPr>
        <w:t xml:space="preserve">Съществуващи социални и интегрирани здравно-социални услуги на територията на областта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Вида на социалните услуги на територията на област Ямбол е 16 с 1272 потребители, от тях социалните услуги за пълнолетни лица е 11, с 1094 потребители. Социалните услуги за деца са 5 със 178 потребители.</w:t>
      </w: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i/>
          <w:color w:val="auto"/>
          <w:spacing w:val="0"/>
          <w:position w:val="0"/>
          <w:sz w:val="24"/>
          <w:shd w:fill="auto" w:val="clear"/>
        </w:rPr>
        <w:t xml:space="preserve">Забележка: Общият брои на социалните услуги на територията на област Ямбол е 34 с 1272 потребители. Броят на социалните услуги за пълнолетни лица е 26, с 1094 потребители. Социалните услуги за деца са 8 със 178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 Ямбол съществуват следните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резидентна грижа (ЦНСТ, ЗЖ) - 10 услуги за 137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консултативни услуги (ДЦ, ЦСРИ, ЦОП)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3 </w:t>
      </w:r>
      <w:r>
        <w:rPr>
          <w:rFonts w:ascii="Times New Roman" w:hAnsi="Times New Roman" w:cs="Times New Roman" w:eastAsia="Times New Roman"/>
          <w:color w:val="auto"/>
          <w:spacing w:val="0"/>
          <w:position w:val="0"/>
          <w:sz w:val="24"/>
          <w:shd w:fill="auto" w:val="clear"/>
        </w:rPr>
        <w:t xml:space="preserve">услуги за 339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услугите в специализирани институции за пълнолетни лица (ДПЛУИ, ДСХ) - 2 услуги за 420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услугите в домашна среда (АП)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услуга за 376 потребители;</w:t>
      </w:r>
    </w:p>
    <w:p>
      <w:pPr>
        <w:spacing w:before="0" w:after="0" w:line="240"/>
        <w:ind w:right="0" w:left="90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графиките е видно, че на територията на област Ямбол преобладават услугите за: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резидентна грижа (ЦНСТ, ЗЖ)- 10 услуги за 137 потребители; консултативни услуги (ДЦ, ЦСРИ, ЦОП)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3 </w:t>
      </w:r>
      <w:r>
        <w:rPr>
          <w:rFonts w:ascii="Times New Roman" w:hAnsi="Times New Roman" w:cs="Times New Roman" w:eastAsia="Times New Roman"/>
          <w:color w:val="auto"/>
          <w:spacing w:val="0"/>
          <w:position w:val="0"/>
          <w:sz w:val="24"/>
          <w:shd w:fill="auto" w:val="clear"/>
        </w:rPr>
        <w:t xml:space="preserve">услуги за 339 потребители; услугите в специализирани институции за пълнолетни лица (ДПЛУИ, ДСХ) - 2 услуги за 420 потребители; услугите в домашна среда (АП)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5 </w:t>
      </w:r>
      <w:r>
        <w:rPr>
          <w:rFonts w:ascii="Times New Roman" w:hAnsi="Times New Roman" w:cs="Times New Roman" w:eastAsia="Times New Roman"/>
          <w:color w:val="auto"/>
          <w:spacing w:val="0"/>
          <w:position w:val="0"/>
          <w:sz w:val="24"/>
          <w:shd w:fill="auto" w:val="clear"/>
        </w:rPr>
        <w:t xml:space="preserve">услуги за 376 потребители.</w:t>
      </w:r>
    </w:p>
    <w:p>
      <w:pPr>
        <w:spacing w:before="0" w:after="0" w:line="240"/>
        <w:ind w:right="0" w:left="90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област Ямбол</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tbl>
      <w:tblPr/>
      <w:tblGrid>
        <w:gridCol w:w="4519"/>
        <w:gridCol w:w="4541"/>
      </w:tblGrid>
      <w:tr>
        <w:trPr>
          <w:trHeight w:val="1" w:hRule="atLeast"/>
          <w:jc w:val="left"/>
        </w:trPr>
        <w:tc>
          <w:tcPr>
            <w:tcW w:w="451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454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451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Асистентска подкрепа</w:t>
            </w:r>
          </w:p>
        </w:tc>
        <w:tc>
          <w:tcPr>
            <w:tcW w:w="45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70</w:t>
            </w:r>
          </w:p>
        </w:tc>
      </w:tr>
      <w:tr>
        <w:trPr>
          <w:trHeight w:val="1" w:hRule="atLeast"/>
          <w:jc w:val="left"/>
        </w:trPr>
        <w:tc>
          <w:tcPr>
            <w:tcW w:w="451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ДЦПЛУ</w:t>
            </w:r>
          </w:p>
        </w:tc>
        <w:tc>
          <w:tcPr>
            <w:tcW w:w="45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51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ДПЛУИ</w:t>
            </w:r>
          </w:p>
        </w:tc>
        <w:tc>
          <w:tcPr>
            <w:tcW w:w="45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90</w:t>
            </w:r>
          </w:p>
        </w:tc>
      </w:tr>
      <w:tr>
        <w:trPr>
          <w:trHeight w:val="1" w:hRule="atLeast"/>
          <w:jc w:val="left"/>
        </w:trPr>
        <w:tc>
          <w:tcPr>
            <w:tcW w:w="451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45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r>
        <w:trPr>
          <w:trHeight w:val="1" w:hRule="atLeast"/>
          <w:jc w:val="left"/>
        </w:trPr>
        <w:tc>
          <w:tcPr>
            <w:tcW w:w="451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ЗЖЛУИ</w:t>
            </w:r>
          </w:p>
        </w:tc>
        <w:tc>
          <w:tcPr>
            <w:tcW w:w="45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56</w:t>
            </w:r>
          </w:p>
        </w:tc>
      </w:tr>
      <w:tr>
        <w:trPr>
          <w:trHeight w:val="1" w:hRule="atLeast"/>
          <w:jc w:val="left"/>
        </w:trPr>
        <w:tc>
          <w:tcPr>
            <w:tcW w:w="451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ЗЖЛФУ</w:t>
            </w:r>
          </w:p>
        </w:tc>
        <w:tc>
          <w:tcPr>
            <w:tcW w:w="45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451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ЦНСТМУ</w:t>
            </w:r>
          </w:p>
        </w:tc>
        <w:tc>
          <w:tcPr>
            <w:tcW w:w="45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451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ЦНСТПЛД</w:t>
            </w:r>
          </w:p>
        </w:tc>
        <w:tc>
          <w:tcPr>
            <w:tcW w:w="45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28</w:t>
            </w:r>
          </w:p>
        </w:tc>
      </w:tr>
      <w:tr>
        <w:trPr>
          <w:trHeight w:val="1" w:hRule="atLeast"/>
          <w:jc w:val="left"/>
        </w:trPr>
        <w:tc>
          <w:tcPr>
            <w:tcW w:w="451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ЦНСТПЛФУ</w:t>
            </w:r>
          </w:p>
        </w:tc>
        <w:tc>
          <w:tcPr>
            <w:tcW w:w="45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Общо 262 лица са включени в списъците на чакащите за ползване на социални услуги в териториалния обхват на област Ямбол. Голям е и броят на лицата за включване в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област Ямбол,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и интегрирани здравно-социални услуги на територията на област Ямбол, различна от общината по настоящ адрес е 362. Най-голям е техният брой в социалните услуги на територията на общините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Ямбол, Болярово, следвани от общините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Стралджа, Елхово, Тунджа. Впечатление прави, че потребителите на услугите в по-голямата част са от общините на територията на областта.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следващата графика е представено сравнение между функциониращите към момента социални услуги, финансирани от държавния бюджет, съотнесени към социалните услуги по чл. 15 от ЗСУ, максималния брой потребители, съгласно критериите по Наредбата за планиране на социалните услуги и поетите ангажименти от общините в областта</w:t>
      </w: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област Ямбол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Анализа на данните на демографското развитие в област Ямбол за периода 2021 г.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2017 </w:t>
      </w:r>
      <w:r>
        <w:rPr>
          <w:rFonts w:ascii="Times New Roman" w:hAnsi="Times New Roman" w:cs="Times New Roman" w:eastAsia="Times New Roman"/>
          <w:color w:val="auto"/>
          <w:spacing w:val="0"/>
          <w:position w:val="0"/>
          <w:sz w:val="24"/>
          <w:shd w:fill="auto" w:val="clear"/>
        </w:rPr>
        <w:t xml:space="preserve">г. показва тенденция към намаление на броя на населението във всички общини.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Във всички общини се отчита ниска раждаемост с тенденция към намаление, висока смъртност и отрицателен естествен прираст. Прогресивно намаляване на относителния дял на лицата в трудоспособна възраст. Устойчива тенденция към емиграция и обезлюдяване. Висок е броя на хората с увреждания, както и на самотно живеещите стари хора от  селата в общината, с невъзможност за самообслужване.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Всички тези фактори, показват че на територията на общината населението застарява и има необходимост от социални услуги за резидентна грижа и услуги в домашна среда. Предизвикателство пред общините е и миграцията на населението в трудоспособна възраст към европейски страни, което създава сериозни рискове за децата от тези семейства по отношение на пълноценната родителска грижа, образованието и развитието им.</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По-голяма част от социалните услуги в областта са обезпечени със служители, необходими за предоставянето им. Общините са използвали различни възможности за наемане на необходимите служители за извършване на дейностите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специалисти се търсят както в Дирекции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Бюра по труда“, така и на свободния пазар, като на работа се наемат и пенсионери. На база на предоставената от общините информация за заетостта на служителите в социалните услуги, се очертава тенденция за недостиг основно на медицински специалисти.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Една от предпоставките за ефективност на социалните услуги е наличието на квалифициран и мотивиран персонал. Развитието и обучението на човешките ресурси в тази област е важна предпоставка за качествени услуги, които да съдействат за повишаване и качеството на живот на отделните индивиди, семейства и групи.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Общините Болярово, Тунджа, Ямбол не са извели прогнозна  потребност за необходимия им персонал за функциониране на социалните услуги след трансформирането на съществуващите социални услуги и декомпозирането им по дейности, съгласно чл.15 от Закон за социалните услуги, както и въз основа на определените минимални изисквания в стандартите за качество на социалните услуги, касаещи броя и квалификацията на необходимите служители.</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Ямбол</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са ключов фактор за ефективно социално включване и участие в живота на обществото на всички групи лица, които имат необходимост от подкрепа. Във основа на направения анализ на състоянието на социалните услуги на територията на областта и очерталите се тенденции, могат да се направят следните изводи: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има голям брой социални услуги за резидентна грижа за пълнолетни лица, но броят им е недостатъчен за задоволяване на потребностите на жителите на областта;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Недостатъчен е броят на услугите за дневна и почасова грижа и подкрепа за деца и пълнолетни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Налице е потребност от социални услуги, насочени към подкрепа на деца и техните родители;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Налице е потребност от социални услуги, насочени към подкрепа на деца с увреждания, ранна интервенция на уврежданията и подкрепа на техните семейства;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съществуват интегрирани здравно-социални услуги за деца и пълнолетни лица, но капацитета им е недостатъчен за задоволяване на потребностите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 Ямбол не функционират социални услуги, за които е изчерпана необходимостта от предоставяне;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 е установена потребност от намаление на капацитета на социалните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 Ямбол не се планира закриване на действащите 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Осигуряването на равен достъп до услуги на всички нуждаещи се чрез планиране на социални услуги, съгласно реалните потребности и нужди и равномерно разпределение на социалните услуги на територията на област Ямбол са съществена част от политиките на областната и общинските администрации.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6463"/>
        </w:numPr>
        <w:tabs>
          <w:tab w:val="left" w:pos="718" w:leader="none"/>
        </w:tabs>
        <w:spacing w:before="0" w:after="0" w:line="240"/>
        <w:ind w:right="0" w:left="718" w:hanging="576"/>
        <w:jc w:val="both"/>
        <w:rPr>
          <w:rFonts w:ascii="Times New Roman" w:hAnsi="Times New Roman" w:cs="Times New Roman" w:eastAsia="Times New Roman"/>
          <w:b/>
          <w:color w:val="003366"/>
          <w:spacing w:val="0"/>
          <w:position w:val="0"/>
          <w:sz w:val="28"/>
          <w:shd w:fill="auto" w:val="clear"/>
        </w:rPr>
      </w:pPr>
      <w:r>
        <w:rPr>
          <w:rFonts w:ascii="Times New Roman" w:hAnsi="Times New Roman" w:cs="Times New Roman" w:eastAsia="Times New Roman"/>
          <w:b/>
          <w:color w:val="003366"/>
          <w:spacing w:val="0"/>
          <w:position w:val="0"/>
          <w:sz w:val="28"/>
          <w:shd w:fill="auto" w:val="clear"/>
        </w:rPr>
        <w:t xml:space="preserve">ОБЛАСТ СТАРА ЗАГОРА</w:t>
      </w:r>
    </w:p>
    <w:p>
      <w:pPr>
        <w:keepNext w:val="true"/>
        <w:numPr>
          <w:ilvl w:val="0"/>
          <w:numId w:val="6463"/>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БРАТЯ ДАСКАЛОВИ</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Братя Даскалови източниците на информация  за структуриране на анализа е получена от Дирекция АПИО- общ. Братя Даскалови, Териториално поделение на НСИ, Дирекция “Социално подпомагане“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Чирпан, Дирекция“ Бюро по труда“.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Братя Даскалови, към 31.12.2021 г. е 8253 жители, от тях 2142 деца до 18-годишна възраст (26%). Общия брой на лицата с трайни увреждания е 516, от тях деца 18 (3,5 %). </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Братя Даскалови са разкрити 2 социални услуги. Общият капацитет на социалните услуги е за 70 потребители, в т.ч. 30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830"/>
        <w:gridCol w:w="2410"/>
        <w:gridCol w:w="3820"/>
      </w:tblGrid>
      <w:tr>
        <w:trPr>
          <w:trHeight w:val="1" w:hRule="atLeast"/>
          <w:jc w:val="left"/>
        </w:trPr>
        <w:tc>
          <w:tcPr>
            <w:tcW w:w="283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41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ДЦСХ</w:t>
            </w:r>
          </w:p>
        </w:tc>
        <w:tc>
          <w:tcPr>
            <w:tcW w:w="382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28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41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38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8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41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c>
          <w:tcPr>
            <w:tcW w:w="38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Братя Даскалови не са разкрити и не функционират интегрирани здравно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социални услуги, делегирани от държавата дейност. Също така не функционират социални услуги и интегрирани здравно-социални услуги по проекти, финансирани от оперативни програми</w:t>
      </w:r>
      <w:r>
        <w:rPr>
          <w:rFonts w:ascii="Times New Roman" w:hAnsi="Times New Roman" w:cs="Times New Roman" w:eastAsia="Times New Roman"/>
          <w:i/>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Братя Даскалови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 социалните услугите услуги, които се предоставят на общинско ниво няма регистрирани чакащи лица.</w:t>
      </w: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Братя Даскалови,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потребители с различен от общината адрес на социални и интегрирани здравно-социални услуги на територията на община Братя Даскалови.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Братя Даскалови за последните 5 години</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Графиката показва, намаление на общия брой на населението с тенденция към застаряване, ниска раждаемост, висока смъртност и отрицателен естествен прираст. Устойчива е тенденцията към емиграция и обезлюдяване на общината.</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Братя Даскалови е успяла да обезпечи необходимите специалисти в сферата на социалните услуги. Няма незаети щатни бройки в социалните услуги на територията на общината. Община Братя Даскалови в качеството си на доставчик на социални услуги, изпълнява задълженията си за осигуряване на професионално и кариерно развитие на служителите, работещи в социалните услуги, функциониращи на територията на общината.</w:t>
      </w:r>
    </w:p>
    <w:p>
      <w:pPr>
        <w:spacing w:before="0" w:after="0" w:line="240"/>
        <w:ind w:right="23"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 данни на ДБТ гр. Братя Даскалови, регистрирани лица с образование в областта на хуманитарни науки са 3 (медицински сестри).Брой на регистрирани лица с предишен опит в предоставянето на социални услуги са 37.</w:t>
      </w:r>
    </w:p>
    <w:p>
      <w:pPr>
        <w:spacing w:before="0" w:after="0" w:line="240"/>
        <w:ind w:right="33"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Братя Даскалови не е изготвила прогноза в анализа за необходимия брой служители за извършване на дейностите по предоставяне на социални и интегрирани здравно-социални услуги</w:t>
      </w:r>
      <w:r>
        <w:rPr>
          <w:rFonts w:ascii="Times New Roman" w:hAnsi="Times New Roman" w:cs="Times New Roman" w:eastAsia="Times New Roman"/>
          <w:color w:val="000000"/>
          <w:spacing w:val="0"/>
          <w:position w:val="0"/>
          <w:sz w:val="24"/>
          <w:shd w:fill="auto" w:val="clear"/>
        </w:rPr>
        <w:t xml:space="preserve"> с оглед на оптимално им функциониране</w:t>
      </w:r>
      <w:r>
        <w:rPr>
          <w:rFonts w:ascii="Times New Roman" w:hAnsi="Times New Roman" w:cs="Times New Roman" w:eastAsia="Times New Roman"/>
          <w:color w:val="auto"/>
          <w:spacing w:val="0"/>
          <w:position w:val="0"/>
          <w:sz w:val="24"/>
          <w:shd w:fill="auto" w:val="clear"/>
        </w:rPr>
        <w:t xml:space="preserve">, в</w:t>
      </w:r>
      <w:r>
        <w:rPr>
          <w:rFonts w:ascii="Times New Roman" w:hAnsi="Times New Roman" w:cs="Times New Roman" w:eastAsia="Times New Roman"/>
          <w:color w:val="000000"/>
          <w:spacing w:val="0"/>
          <w:position w:val="0"/>
          <w:sz w:val="24"/>
          <w:shd w:fill="auto" w:val="clear"/>
        </w:rPr>
        <w:t xml:space="preserve">ъв връзка с декомпозирането на съществуващите към момента социални услуги на територията на общината.</w:t>
      </w:r>
    </w:p>
    <w:p>
      <w:pPr>
        <w:spacing w:before="0" w:after="0" w:line="240"/>
        <w:ind w:right="33"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6479"/>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ГУРКОВО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Източниците на информация за струкруриране на анализа в община Гурково са: Териториалното поделение на НОИ, Национален статистически институт, Дирекция социално подпомагане - гр. Гурково, Бюро по труда, РЗИ, Отдел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ГРАО” към Общинска администрация-Гурково.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Анализът обхваща периода 2017-2021 година. По данни на община Гурково общият брой на населението, към 31.12.2021 г. е 5551 жители, от тях 1326 деца до 18-годишна възраст (24 %). Общия брой на лицата с трайни увреждания е 408, от тях деца 12 (3 %).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Гурково е разкрита 1 социална услуга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асистентска подкрепа. Общият капацитет на социалната услуга е за 16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394"/>
        <w:gridCol w:w="6666"/>
      </w:tblGrid>
      <w:tr>
        <w:trPr>
          <w:trHeight w:val="1" w:hRule="atLeast"/>
          <w:jc w:val="left"/>
        </w:trPr>
        <w:tc>
          <w:tcPr>
            <w:tcW w:w="239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666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239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66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426" w:hRule="auto"/>
          <w:jc w:val="left"/>
        </w:trPr>
        <w:tc>
          <w:tcPr>
            <w:tcW w:w="239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66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Гурково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Гурково е 14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tbl>
      <w:tblPr/>
      <w:tblGrid>
        <w:gridCol w:w="4957"/>
        <w:gridCol w:w="4082"/>
      </w:tblGrid>
      <w:tr>
        <w:trPr>
          <w:trHeight w:val="1" w:hRule="atLeast"/>
          <w:jc w:val="left"/>
        </w:trPr>
        <w:tc>
          <w:tcPr>
            <w:tcW w:w="495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408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49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Асистентска подкрепа</w:t>
            </w:r>
          </w:p>
        </w:tc>
        <w:tc>
          <w:tcPr>
            <w:tcW w:w="408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bl>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Гурково,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потребители с различен от община Гурково адрес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Гурково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Графиката показва, намаление на общия брой на населението на общината. Високите стойности на смъртността и относително невисоките стойности на раждаемост водят до отрицателен естествен прираст за територията на община Гурково. Показателите за механичния прираст на населението показват запазване на тенденцията за увеличаване на външните миграции, предизвикани от лошата икономическа обстановка и високия процент на безработица.</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 община Гурково няма незаети позиции в социалните услуги. По данни на Дирекция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Бюро по труда”- гр. Казанлък няма регистрирани безработни с подходящо образование на територията на общината. </w:t>
      </w:r>
      <w:r>
        <w:rPr>
          <w:rFonts w:ascii="Times New Roman" w:hAnsi="Times New Roman" w:cs="Times New Roman" w:eastAsia="Times New Roman"/>
          <w:color w:val="auto"/>
          <w:spacing w:val="0"/>
          <w:position w:val="0"/>
          <w:sz w:val="24"/>
          <w:shd w:fill="auto" w:val="clear"/>
        </w:rPr>
        <w:t xml:space="preserve">На територията на община Гурково не са разкрити и не функционират интегрирани здравно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социални услуги. </w:t>
      </w:r>
    </w:p>
    <w:p>
      <w:pPr>
        <w:spacing w:before="0" w:after="0" w:line="240"/>
        <w:ind w:right="34"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В Община Гурково се предоставя СУ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Асистентска подкрепа“, която се обслужва от 5 асистента. На този етап община Гурково не се нуждае от увеличаване на броя на асистентите, видно от предоставената информация.</w:t>
      </w:r>
    </w:p>
    <w:p>
      <w:pPr>
        <w:spacing w:before="0" w:after="0" w:line="240"/>
        <w:ind w:right="34" w:left="0" w:firstLine="0"/>
        <w:jc w:val="both"/>
        <w:rPr>
          <w:rFonts w:ascii="Times New Roman" w:hAnsi="Times New Roman" w:cs="Times New Roman" w:eastAsia="Times New Roman"/>
          <w:color w:val="auto"/>
          <w:spacing w:val="0"/>
          <w:position w:val="0"/>
          <w:sz w:val="24"/>
          <w:shd w:fill="FFFFFF" w:val="clear"/>
        </w:rPr>
      </w:pPr>
    </w:p>
    <w:p>
      <w:pPr>
        <w:keepNext w:val="true"/>
        <w:numPr>
          <w:ilvl w:val="0"/>
          <w:numId w:val="6501"/>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ГЪЛЪБОВО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Източниците на информация за струкруриране на анализа в община Гълъбово са: Националният статистически институт, Регионално статстическо бюро,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Гълъбово;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 гр. Раднево;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Анализът обхваща периода 2017-2021 година. По данни на община Гълъбово общият брой на населението, към 31.12.2021 г. е 10779 жители, от тях 1534 деца до 18-годишна възраст (14 %). Общия брой на лицата с трайни увреждания е 848, от тях деца 34 (4 %).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Гълъбово са разкрити 4 социални услуги, от тях 3 се предоставят в гр. Гълъбово. Общият капацитет на социалните услуги е за 111 потребители, в т.ч. 33 асистентска подкрепа и 40 ДСХ.</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761"/>
        <w:gridCol w:w="2019"/>
        <w:gridCol w:w="1939"/>
        <w:gridCol w:w="1033"/>
        <w:gridCol w:w="1308"/>
      </w:tblGrid>
      <w:tr>
        <w:trPr>
          <w:trHeight w:val="1" w:hRule="atLeast"/>
          <w:jc w:val="left"/>
        </w:trPr>
        <w:tc>
          <w:tcPr>
            <w:tcW w:w="276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01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193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103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130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r>
      <w:tr>
        <w:trPr>
          <w:trHeight w:val="1" w:hRule="atLeast"/>
          <w:jc w:val="left"/>
        </w:trPr>
        <w:tc>
          <w:tcPr>
            <w:tcW w:w="276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01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9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0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3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76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01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9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0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33</w:t>
            </w:r>
          </w:p>
        </w:tc>
        <w:tc>
          <w:tcPr>
            <w:tcW w:w="13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r>
    </w:tbl>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Гълъбово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Гълъбово са 11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ЗЖЛУИ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Гълъбово, различна от общината по настоящ адрес</w:t>
      </w:r>
    </w:p>
    <w:tbl>
      <w:tblPr/>
      <w:tblGrid>
        <w:gridCol w:w="4041"/>
        <w:gridCol w:w="5019"/>
      </w:tblGrid>
      <w:tr>
        <w:trPr>
          <w:trHeight w:val="1" w:hRule="atLeast"/>
          <w:jc w:val="left"/>
        </w:trPr>
        <w:tc>
          <w:tcPr>
            <w:tcW w:w="404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Вид СУ</w:t>
            </w:r>
          </w:p>
        </w:tc>
        <w:tc>
          <w:tcPr>
            <w:tcW w:w="501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потребители от други общини</w:t>
            </w:r>
          </w:p>
        </w:tc>
      </w:tr>
      <w:tr>
        <w:trPr>
          <w:trHeight w:val="1" w:hRule="atLeast"/>
          <w:jc w:val="left"/>
        </w:trPr>
        <w:tc>
          <w:tcPr>
            <w:tcW w:w="4041"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ЗЖЛУИ</w:t>
            </w:r>
          </w:p>
        </w:tc>
        <w:tc>
          <w:tcPr>
            <w:tcW w:w="5019"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w:t>
            </w:r>
          </w:p>
        </w:tc>
      </w:tr>
      <w:tr>
        <w:trPr>
          <w:trHeight w:val="1" w:hRule="atLeast"/>
          <w:jc w:val="left"/>
        </w:trPr>
        <w:tc>
          <w:tcPr>
            <w:tcW w:w="4041"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ДСХ</w:t>
            </w:r>
          </w:p>
        </w:tc>
        <w:tc>
          <w:tcPr>
            <w:tcW w:w="5019"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19</w:t>
            </w:r>
          </w:p>
        </w:tc>
      </w:tr>
      <w:tr>
        <w:trPr>
          <w:trHeight w:val="1" w:hRule="atLeast"/>
          <w:jc w:val="left"/>
        </w:trPr>
        <w:tc>
          <w:tcPr>
            <w:tcW w:w="4041"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ДЦДМУ</w:t>
            </w:r>
          </w:p>
        </w:tc>
        <w:tc>
          <w:tcPr>
            <w:tcW w:w="5019"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Гълъбово, от други общини е 28</w:t>
      </w:r>
      <w:r>
        <w:rPr>
          <w:rFonts w:ascii="Times New Roman" w:hAnsi="Times New Roman" w:cs="Times New Roman" w:eastAsia="Times New Roman"/>
          <w:i/>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Гълъбово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резултат на установилите се през последните години неблагоприятни тенденции в развитието на демографските процеси, броят на населението продължава да намалява. </w:t>
      </w:r>
      <w:r>
        <w:rPr>
          <w:rFonts w:ascii="Times New Roman" w:hAnsi="Times New Roman" w:cs="Times New Roman" w:eastAsia="Times New Roman"/>
          <w:color w:val="000000"/>
          <w:spacing w:val="0"/>
          <w:position w:val="0"/>
          <w:sz w:val="24"/>
          <w:shd w:fill="auto" w:val="clear"/>
        </w:rPr>
        <w:t xml:space="preserve">Най-сериозните проблеми на общината са свързани с намаляващото и застаряващо население, ниската раждаемост и липсата на предприятия които да осигуряват заетост на безработните лица в работоспособна възраст.</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33"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Гълъбово е успяла да обезпечи социалните услуги с необходимите специалисти. Налице са 0,5 незаети щатни бройки. Към момента на изготвянето на анализа в съществуващите социални услуги са назначени управители с нужното образование. Основните специалисти в социалните заведенията на общината притежават необходимата квалификация. По данни на административната статистика на АЗ няма </w:t>
      </w:r>
      <w:r>
        <w:rPr>
          <w:rFonts w:ascii="Times New Roman" w:hAnsi="Times New Roman" w:cs="Times New Roman" w:eastAsia="Times New Roman"/>
          <w:color w:val="000000"/>
          <w:spacing w:val="0"/>
          <w:position w:val="0"/>
          <w:sz w:val="24"/>
          <w:shd w:fill="auto" w:val="clear"/>
        </w:rPr>
        <w:t xml:space="preserve">регистрирани търсещи работа лица с </w:t>
      </w:r>
      <w:r>
        <w:rPr>
          <w:rFonts w:ascii="Times New Roman" w:hAnsi="Times New Roman" w:cs="Times New Roman" w:eastAsia="Times New Roman"/>
          <w:color w:val="auto"/>
          <w:spacing w:val="0"/>
          <w:position w:val="0"/>
          <w:sz w:val="24"/>
          <w:shd w:fill="auto" w:val="clear"/>
        </w:rPr>
        <w:t xml:space="preserve">лица, притежаващи образование в областите “Здравеопазване“ 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Хуманитарни дейности“. Регистрирани са 8 лица притежаващи опит в социалните услуги, които могат да са подходящи за работа в социалната сфера.</w:t>
      </w:r>
    </w:p>
    <w:p>
      <w:pPr>
        <w:spacing w:before="0" w:after="0" w:line="240"/>
        <w:ind w:right="33"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Гълъбово не е изготвила прогноза в анализа за необходимия брой служители за извършване на дейностите по предоставяне на социални и интегрирани здравно-социални услуги</w:t>
      </w:r>
      <w:r>
        <w:rPr>
          <w:rFonts w:ascii="Times New Roman" w:hAnsi="Times New Roman" w:cs="Times New Roman" w:eastAsia="Times New Roman"/>
          <w:color w:val="000000"/>
          <w:spacing w:val="0"/>
          <w:position w:val="0"/>
          <w:sz w:val="24"/>
          <w:shd w:fill="auto" w:val="clear"/>
        </w:rPr>
        <w:t xml:space="preserve"> с оглед на оптимално им функциониране</w:t>
      </w:r>
      <w:r>
        <w:rPr>
          <w:rFonts w:ascii="Times New Roman" w:hAnsi="Times New Roman" w:cs="Times New Roman" w:eastAsia="Times New Roman"/>
          <w:color w:val="auto"/>
          <w:spacing w:val="0"/>
          <w:position w:val="0"/>
          <w:sz w:val="24"/>
          <w:shd w:fill="auto" w:val="clear"/>
        </w:rPr>
        <w:t xml:space="preserve">, в</w:t>
      </w:r>
      <w:r>
        <w:rPr>
          <w:rFonts w:ascii="Times New Roman" w:hAnsi="Times New Roman" w:cs="Times New Roman" w:eastAsia="Times New Roman"/>
          <w:color w:val="000000"/>
          <w:spacing w:val="0"/>
          <w:position w:val="0"/>
          <w:sz w:val="24"/>
          <w:shd w:fill="auto" w:val="clear"/>
        </w:rPr>
        <w:t xml:space="preserve">ъв връзка с декомпозирането на съществуващите към момента социални услуги на територията на общината.</w:t>
      </w:r>
    </w:p>
    <w:p>
      <w:pPr>
        <w:spacing w:before="0" w:after="0" w:line="240"/>
        <w:ind w:right="33" w:left="0" w:firstLine="708"/>
        <w:jc w:val="both"/>
        <w:rPr>
          <w:rFonts w:ascii="Times New Roman" w:hAnsi="Times New Roman" w:cs="Times New Roman" w:eastAsia="Times New Roman"/>
          <w:color w:val="auto"/>
          <w:spacing w:val="0"/>
          <w:position w:val="0"/>
          <w:sz w:val="20"/>
          <w:shd w:fill="auto" w:val="clear"/>
        </w:rPr>
      </w:pPr>
    </w:p>
    <w:p>
      <w:pPr>
        <w:keepNext w:val="true"/>
        <w:numPr>
          <w:ilvl w:val="0"/>
          <w:numId w:val="6534"/>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КАЗАНЛЪК</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за общината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Казанлък източниците, които са ползвани са от </w:t>
      </w:r>
      <w:r>
        <w:rPr>
          <w:rFonts w:ascii="Times New Roman" w:hAnsi="Times New Roman" w:cs="Times New Roman" w:eastAsia="Times New Roman"/>
          <w:color w:val="000000"/>
          <w:spacing w:val="0"/>
          <w:position w:val="0"/>
          <w:sz w:val="24"/>
          <w:shd w:fill="auto" w:val="clear"/>
        </w:rPr>
        <w:t xml:space="preserve">Общинска администрация Казанлък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Отдел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Социални дейности“, Отдел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Образование и стратегическо планиране“, Отдел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Гражданско състояние- ГРАО“, Отдел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Икономика по управление на собствеността“, териториалните структури на Агенция за социално подпомагане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Дирекция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Социално подпомагане“- Казанлък, местни структури на Агенция по заетостта- Дирекция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Бюро по труда“- Казанлък, доставчици на социални услуги в общността, Регионална здравна инспекция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Стара Загора, Национален статистически институт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Отдел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Статистически изследвания“, Стара Загора.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Казанлък, към 31.12.2021 г. е 73137 жители, от тях 13405 деца до 18-годишна възраст (18,3%). Общия брой на лицата с трайни увреждания е 5141, от тях деца 199 (3,87%).</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Казанлък са разкрити 15 социални услуги, от тях 1 се предоставя в с. Бузовград и 1 в с. Дунавци. Общият капацитет на социалните услуги е за 674 потребители, в т.ч. 167 асистентска подкрепа и 184 в ДСХ.</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924"/>
        <w:gridCol w:w="1101"/>
        <w:gridCol w:w="1060"/>
        <w:gridCol w:w="887"/>
        <w:gridCol w:w="1234"/>
        <w:gridCol w:w="867"/>
        <w:gridCol w:w="646"/>
        <w:gridCol w:w="1341"/>
      </w:tblGrid>
      <w:tr>
        <w:trPr>
          <w:trHeight w:val="1" w:hRule="atLeast"/>
          <w:jc w:val="left"/>
        </w:trPr>
        <w:tc>
          <w:tcPr>
            <w:tcW w:w="192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10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10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88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ДЦСХ</w:t>
            </w:r>
          </w:p>
        </w:tc>
        <w:tc>
          <w:tcPr>
            <w:tcW w:w="123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ЦСРИДМ</w:t>
            </w:r>
          </w:p>
        </w:tc>
        <w:tc>
          <w:tcPr>
            <w:tcW w:w="86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6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134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r>
      <w:tr>
        <w:trPr>
          <w:trHeight w:val="1" w:hRule="atLeast"/>
          <w:jc w:val="left"/>
        </w:trPr>
        <w:tc>
          <w:tcPr>
            <w:tcW w:w="192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10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0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6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3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92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10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36</w:t>
            </w:r>
          </w:p>
        </w:tc>
        <w:tc>
          <w:tcPr>
            <w:tcW w:w="10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8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c>
          <w:tcPr>
            <w:tcW w:w="12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c>
          <w:tcPr>
            <w:tcW w:w="8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80</w:t>
            </w:r>
          </w:p>
        </w:tc>
        <w:tc>
          <w:tcPr>
            <w:tcW w:w="6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167</w:t>
            </w:r>
          </w:p>
        </w:tc>
        <w:tc>
          <w:tcPr>
            <w:tcW w:w="13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tbl>
      <w:tblPr/>
      <w:tblGrid>
        <w:gridCol w:w="2908"/>
        <w:gridCol w:w="1680"/>
        <w:gridCol w:w="1395"/>
        <w:gridCol w:w="1379"/>
        <w:gridCol w:w="1698"/>
      </w:tblGrid>
      <w:tr>
        <w:trPr>
          <w:trHeight w:val="1" w:hRule="atLeast"/>
          <w:jc w:val="left"/>
        </w:trPr>
        <w:tc>
          <w:tcPr>
            <w:tcW w:w="290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68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139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137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169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ДПЛД</w:t>
            </w:r>
          </w:p>
        </w:tc>
      </w:tr>
      <w:tr>
        <w:trPr>
          <w:trHeight w:val="1" w:hRule="atLeast"/>
          <w:jc w:val="left"/>
        </w:trPr>
        <w:tc>
          <w:tcPr>
            <w:tcW w:w="29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13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3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6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9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43</w:t>
            </w:r>
          </w:p>
        </w:tc>
        <w:tc>
          <w:tcPr>
            <w:tcW w:w="13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c>
          <w:tcPr>
            <w:tcW w:w="13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184</w:t>
            </w:r>
          </w:p>
        </w:tc>
        <w:tc>
          <w:tcPr>
            <w:tcW w:w="16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70</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 социални услуги на територията на община Казанлък</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Казанлък е 153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ДЦПЛУ</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ЗЖЛУИ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ЦНСТДМУ</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73</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ДПЛД</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49</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Казанлък,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Казанлък, от други общини е 107</w:t>
      </w:r>
      <w:r>
        <w:rPr>
          <w:rFonts w:ascii="Times New Roman" w:hAnsi="Times New Roman" w:cs="Times New Roman" w:eastAsia="Times New Roman"/>
          <w:i/>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302"/>
        <w:gridCol w:w="5041"/>
      </w:tblGrid>
      <w:tr>
        <w:trPr>
          <w:trHeight w:val="1" w:hRule="atLeast"/>
          <w:jc w:val="left"/>
        </w:trPr>
        <w:tc>
          <w:tcPr>
            <w:tcW w:w="4302" w:type="dxa"/>
            <w:tcBorders>
              <w:top w:val="single" w:color="000000" w:sz="8"/>
              <w:left w:val="single" w:color="000000" w:sz="8"/>
              <w:bottom w:val="single" w:color="000000" w:sz="8"/>
              <w:right w:val="single" w:color="000000" w:sz="8"/>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Вид СУ</w:t>
            </w:r>
          </w:p>
        </w:tc>
        <w:tc>
          <w:tcPr>
            <w:tcW w:w="5041" w:type="dxa"/>
            <w:tcBorders>
              <w:top w:val="single" w:color="000000" w:sz="8"/>
              <w:left w:val="single" w:color="000000" w:sz="0"/>
              <w:bottom w:val="single" w:color="000000" w:sz="8"/>
              <w:right w:val="single" w:color="000000" w:sz="8"/>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потребители от други общини</w:t>
            </w:r>
          </w:p>
        </w:tc>
      </w:tr>
      <w:tr>
        <w:trPr>
          <w:trHeight w:val="1" w:hRule="atLeast"/>
          <w:jc w:val="left"/>
        </w:trPr>
        <w:tc>
          <w:tcPr>
            <w:tcW w:w="4302"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ДСХ</w:t>
            </w:r>
          </w:p>
        </w:tc>
        <w:tc>
          <w:tcPr>
            <w:tcW w:w="5041" w:type="dxa"/>
            <w:tcBorders>
              <w:top w:val="single" w:color="000000" w:sz="8"/>
              <w:left w:val="single" w:color="000000" w:sz="0"/>
              <w:bottom w:val="single" w:color="000000" w:sz="8"/>
              <w:right w:val="single" w:color="000000" w:sz="8"/>
            </w:tcBorders>
            <w:shd w:color="auto"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42</w:t>
            </w:r>
          </w:p>
        </w:tc>
      </w:tr>
      <w:tr>
        <w:trPr>
          <w:trHeight w:val="1" w:hRule="atLeast"/>
          <w:jc w:val="left"/>
        </w:trPr>
        <w:tc>
          <w:tcPr>
            <w:tcW w:w="4302"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ЦНСДБУ</w:t>
            </w:r>
          </w:p>
        </w:tc>
        <w:tc>
          <w:tcPr>
            <w:tcW w:w="5041" w:type="dxa"/>
            <w:tcBorders>
              <w:top w:val="single" w:color="000000" w:sz="8"/>
              <w:left w:val="single" w:color="000000" w:sz="0"/>
              <w:bottom w:val="single" w:color="000000" w:sz="8"/>
              <w:right w:val="single" w:color="000000" w:sz="8"/>
            </w:tcBorders>
            <w:shd w:color="auto"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w:t>
            </w:r>
          </w:p>
        </w:tc>
      </w:tr>
      <w:tr>
        <w:trPr>
          <w:trHeight w:val="1" w:hRule="atLeast"/>
          <w:jc w:val="left"/>
        </w:trPr>
        <w:tc>
          <w:tcPr>
            <w:tcW w:w="4302"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ЦНСДДМУ</w:t>
            </w:r>
          </w:p>
        </w:tc>
        <w:tc>
          <w:tcPr>
            <w:tcW w:w="5041" w:type="dxa"/>
            <w:tcBorders>
              <w:top w:val="single" w:color="000000" w:sz="8"/>
              <w:left w:val="single" w:color="000000" w:sz="0"/>
              <w:bottom w:val="single" w:color="000000" w:sz="8"/>
              <w:right w:val="single" w:color="000000" w:sz="8"/>
            </w:tcBorders>
            <w:shd w:color="auto"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w:t>
            </w:r>
          </w:p>
        </w:tc>
      </w:tr>
      <w:tr>
        <w:trPr>
          <w:trHeight w:val="1" w:hRule="atLeast"/>
          <w:jc w:val="left"/>
        </w:trPr>
        <w:tc>
          <w:tcPr>
            <w:tcW w:w="4302"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ЗЖЛУИ</w:t>
            </w:r>
          </w:p>
        </w:tc>
        <w:tc>
          <w:tcPr>
            <w:tcW w:w="5041" w:type="dxa"/>
            <w:tcBorders>
              <w:top w:val="single" w:color="000000" w:sz="8"/>
              <w:left w:val="single" w:color="000000" w:sz="0"/>
              <w:bottom w:val="single" w:color="000000" w:sz="8"/>
              <w:right w:val="single" w:color="000000" w:sz="8"/>
            </w:tcBorders>
            <w:shd w:color="auto"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w:t>
            </w:r>
          </w:p>
        </w:tc>
      </w:tr>
      <w:tr>
        <w:trPr>
          <w:trHeight w:val="1" w:hRule="atLeast"/>
          <w:jc w:val="left"/>
        </w:trPr>
        <w:tc>
          <w:tcPr>
            <w:tcW w:w="4302"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ЦОП</w:t>
            </w:r>
          </w:p>
        </w:tc>
        <w:tc>
          <w:tcPr>
            <w:tcW w:w="5041" w:type="dxa"/>
            <w:tcBorders>
              <w:top w:val="single" w:color="000000" w:sz="8"/>
              <w:left w:val="single" w:color="000000" w:sz="0"/>
              <w:bottom w:val="single" w:color="000000" w:sz="8"/>
              <w:right w:val="single" w:color="000000" w:sz="8"/>
            </w:tcBorders>
            <w:shd w:color="auto"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38</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Казанлък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лице е </w:t>
      </w:r>
      <w:r>
        <w:rPr>
          <w:rFonts w:ascii="Times New Roman" w:hAnsi="Times New Roman" w:cs="Times New Roman" w:eastAsia="Times New Roman"/>
          <w:color w:val="000000"/>
          <w:spacing w:val="0"/>
          <w:position w:val="0"/>
          <w:sz w:val="24"/>
          <w:shd w:fill="auto" w:val="clear"/>
        </w:rPr>
        <w:t xml:space="preserve">намаляване и застаряване на населението. Освен намаляването, прогнозата е за значителни изменения в структурата на населението. Застаряващото население ще доведе до увеличаване разходите за грижа за старите хора. Застаряващото на работната сила в условия на динамичен пазар на труда, с постоянно променящи се изисквания към квалификация и професионални умения на заетите лица, поражда необходимост от насърчаване на ученето през целия живот.</w:t>
      </w:r>
      <w:r>
        <w:rPr>
          <w:rFonts w:ascii="Times New Roman" w:hAnsi="Times New Roman" w:cs="Times New Roman" w:eastAsia="Times New Roman"/>
          <w:color w:val="auto"/>
          <w:spacing w:val="0"/>
          <w:position w:val="0"/>
          <w:sz w:val="24"/>
          <w:shd w:fill="auto" w:val="clear"/>
        </w:rPr>
        <w:t xml:space="preserve"> Може да се направи изводът, че при продължаваща тенденция за намаляване на населението (в т.ч. и отлив към областен център и други по-големи населени места, с цел реализация на пазара на труда) и при продължаващо влошаване възрастовата характеристика, много села ще бъдат застрашени от обезлюдяване. Негативните демографски процеси са сходни с тези в областта, като цяло и в малките населени места в страната.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33"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Назначеният персонал в социалните услуги разположени на територията на община Казанлък запазва своята стабилност по отношение запазването на работните места, като не се наблюдава текучество.</w:t>
      </w:r>
      <w:r>
        <w:rPr>
          <w:rFonts w:ascii="Times New Roman" w:hAnsi="Times New Roman" w:cs="Times New Roman" w:eastAsia="Times New Roman"/>
          <w:color w:val="auto"/>
          <w:spacing w:val="0"/>
          <w:position w:val="0"/>
          <w:sz w:val="24"/>
          <w:shd w:fill="auto" w:val="clear"/>
        </w:rPr>
        <w:t xml:space="preserve"> Налице са 6,75 свободни щатни бройки. </w:t>
      </w:r>
      <w:r>
        <w:rPr>
          <w:rFonts w:ascii="Times New Roman" w:hAnsi="Times New Roman" w:cs="Times New Roman" w:eastAsia="Times New Roman"/>
          <w:color w:val="000000"/>
          <w:spacing w:val="0"/>
          <w:position w:val="0"/>
          <w:sz w:val="24"/>
          <w:shd w:fill="auto" w:val="clear"/>
        </w:rPr>
        <w:t xml:space="preserve">Назначеният персонал постоянно и методично надгражда и усъвършенства своите знания и умения, като участва в многобройни обучения, семинари, конференции и работни срещи. Всеки новопостъпил служител в социална услуга задължително преминава през въвеждащо обучение и подкрепа от служител с опит в същата сфера на дейност. Редовно се провеждат супервизии, които спомагат за повишаване на професионалните умения, знания и нагласи на служителите в социалните услуги с цел постигане и поддържане на професионална компетентност, гарантираща високо качество на социалната работа, както и спомага преодоляването на възникналите трудности при осъществяване на социалната работа от професионален, психологически и емоционален характер.</w:t>
      </w:r>
    </w:p>
    <w:p>
      <w:pPr>
        <w:spacing w:before="0" w:after="0" w:line="240"/>
        <w:ind w:right="33"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предоставената информация от АЗ става ясно, че общия брой </w:t>
      </w:r>
      <w:r>
        <w:rPr>
          <w:rFonts w:ascii="Times New Roman" w:hAnsi="Times New Roman" w:cs="Times New Roman" w:eastAsia="Times New Roman"/>
          <w:color w:val="000000"/>
          <w:spacing w:val="0"/>
          <w:position w:val="0"/>
          <w:sz w:val="24"/>
          <w:shd w:fill="auto" w:val="clear"/>
        </w:rPr>
        <w:t xml:space="preserve">на регистрираните лица с опит и професионална реализация в сферата на социалните и други науки са 91 броя. От тях </w:t>
      </w:r>
      <w:r>
        <w:rPr>
          <w:rFonts w:ascii="Times New Roman" w:hAnsi="Times New Roman" w:cs="Times New Roman" w:eastAsia="Times New Roman"/>
          <w:color w:val="auto"/>
          <w:spacing w:val="0"/>
          <w:position w:val="0"/>
          <w:sz w:val="24"/>
          <w:shd w:fill="auto" w:val="clear"/>
        </w:rPr>
        <w:t xml:space="preserve">16 лица с медицинско образование и 14 лица с опит в областта на хуманитарните науки.</w:t>
      </w:r>
    </w:p>
    <w:p>
      <w:pPr>
        <w:spacing w:before="0" w:after="0" w:line="240"/>
        <w:ind w:right="33"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Във връзка с декомпозирането на съществуващите към момента социални услуги на територията на община Казанлък се извежда прогнозен брой за 18 нови служители с оглед на оптимално функциониране на социалните и интегрираните здравно-социални услуги.</w:t>
      </w:r>
    </w:p>
    <w:p>
      <w:pPr>
        <w:spacing w:before="0" w:after="0" w:line="240"/>
        <w:ind w:right="33"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6595"/>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МЪГЛИЖ</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за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Мъглиж източниците, които са ползвани са от статистическа база данни от НСИ, ГД ГРАО, Общинска администрация, Дирекция “Социално подпомагане“, РЗИ и ДБТ.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Мъглиж, към 31.12.2021 г. е 12260 жители, от тях 2525 деца до 18-годишна възраст (20,6%). Общия брой на лицата с трайни увреждания е 787, от тях деца 35 (7,44%).</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48" w:left="-15" w:firstLine="422"/>
        <w:jc w:val="both"/>
        <w:rPr>
          <w:rFonts w:ascii="Times New Roman" w:hAnsi="Times New Roman" w:cs="Times New Roman" w:eastAsia="Times New Roman"/>
          <w:color w:val="000000"/>
          <w:spacing w:val="0"/>
          <w:position w:val="0"/>
          <w:sz w:val="24"/>
          <w:shd w:fill="auto" w:val="clear"/>
        </w:rPr>
      </w:pPr>
    </w:p>
    <w:p>
      <w:pPr>
        <w:spacing w:before="0" w:after="0" w:line="240"/>
        <w:ind w:right="48" w:left="-15" w:firstLine="422"/>
        <w:jc w:val="both"/>
        <w:rPr>
          <w:rFonts w:ascii="Times New Roman" w:hAnsi="Times New Roman" w:cs="Times New Roman" w:eastAsia="Times New Roman"/>
          <w:color w:val="000000"/>
          <w:spacing w:val="0"/>
          <w:position w:val="0"/>
          <w:sz w:val="24"/>
          <w:shd w:fill="auto" w:val="clear"/>
        </w:rPr>
      </w:pPr>
    </w:p>
    <w:p>
      <w:pPr>
        <w:spacing w:before="0" w:after="0" w:line="240"/>
        <w:ind w:right="48" w:left="-15" w:firstLine="422"/>
        <w:jc w:val="both"/>
        <w:rPr>
          <w:rFonts w:ascii="Times New Roman" w:hAnsi="Times New Roman" w:cs="Times New Roman" w:eastAsia="Times New Roman"/>
          <w:color w:val="000000"/>
          <w:spacing w:val="0"/>
          <w:position w:val="0"/>
          <w:sz w:val="24"/>
          <w:shd w:fill="auto" w:val="clear"/>
        </w:rPr>
      </w:pPr>
    </w:p>
    <w:p>
      <w:pPr>
        <w:spacing w:before="0" w:after="0" w:line="240"/>
        <w:ind w:right="48" w:left="-15" w:firstLine="422"/>
        <w:jc w:val="both"/>
        <w:rPr>
          <w:rFonts w:ascii="Times New Roman" w:hAnsi="Times New Roman" w:cs="Times New Roman" w:eastAsia="Times New Roman"/>
          <w:color w:val="000000"/>
          <w:spacing w:val="0"/>
          <w:position w:val="0"/>
          <w:sz w:val="24"/>
          <w:shd w:fill="auto" w:val="clear"/>
        </w:rPr>
      </w:pPr>
    </w:p>
    <w:p>
      <w:pPr>
        <w:spacing w:before="0" w:after="0" w:line="240"/>
        <w:ind w:right="48" w:left="-15" w:firstLine="422"/>
        <w:jc w:val="both"/>
        <w:rPr>
          <w:rFonts w:ascii="Times New Roman" w:hAnsi="Times New Roman" w:cs="Times New Roman" w:eastAsia="Times New Roman"/>
          <w:color w:val="000000"/>
          <w:spacing w:val="0"/>
          <w:position w:val="0"/>
          <w:sz w:val="24"/>
          <w:shd w:fill="auto" w:val="clear"/>
        </w:rPr>
      </w:pPr>
    </w:p>
    <w:p>
      <w:pPr>
        <w:spacing w:before="0" w:after="0" w:line="240"/>
        <w:ind w:right="48" w:left="-15" w:firstLine="422"/>
        <w:jc w:val="both"/>
        <w:rPr>
          <w:rFonts w:ascii="Times New Roman" w:hAnsi="Times New Roman" w:cs="Times New Roman" w:eastAsia="Times New Roman"/>
          <w:color w:val="000000"/>
          <w:spacing w:val="0"/>
          <w:position w:val="0"/>
          <w:sz w:val="24"/>
          <w:shd w:fill="auto" w:val="clear"/>
        </w:rPr>
      </w:pPr>
    </w:p>
    <w:p>
      <w:pPr>
        <w:spacing w:before="0" w:after="0" w:line="240"/>
        <w:ind w:right="48" w:left="-15" w:firstLine="422"/>
        <w:jc w:val="both"/>
        <w:rPr>
          <w:rFonts w:ascii="Times New Roman" w:hAnsi="Times New Roman" w:cs="Times New Roman" w:eastAsia="Times New Roman"/>
          <w:color w:val="000000"/>
          <w:spacing w:val="0"/>
          <w:position w:val="0"/>
          <w:sz w:val="24"/>
          <w:shd w:fill="auto" w:val="clear"/>
        </w:rPr>
      </w:pPr>
    </w:p>
    <w:p>
      <w:pPr>
        <w:spacing w:before="0" w:after="0" w:line="240"/>
        <w:ind w:right="48" w:left="-15" w:firstLine="422"/>
        <w:jc w:val="both"/>
        <w:rPr>
          <w:rFonts w:ascii="Times New Roman" w:hAnsi="Times New Roman" w:cs="Times New Roman" w:eastAsia="Times New Roman"/>
          <w:color w:val="000000"/>
          <w:spacing w:val="0"/>
          <w:position w:val="0"/>
          <w:sz w:val="24"/>
          <w:shd w:fill="auto" w:val="clear"/>
        </w:rPr>
      </w:pPr>
    </w:p>
    <w:p>
      <w:pPr>
        <w:spacing w:before="0" w:after="0" w:line="240"/>
        <w:ind w:right="48" w:left="-15" w:firstLine="422"/>
        <w:jc w:val="both"/>
        <w:rPr>
          <w:rFonts w:ascii="Times New Roman" w:hAnsi="Times New Roman" w:cs="Times New Roman" w:eastAsia="Times New Roman"/>
          <w:color w:val="000000"/>
          <w:spacing w:val="0"/>
          <w:position w:val="0"/>
          <w:sz w:val="24"/>
          <w:shd w:fill="auto" w:val="clear"/>
        </w:rPr>
      </w:pPr>
    </w:p>
    <w:p>
      <w:pPr>
        <w:spacing w:before="0" w:after="0" w:line="240"/>
        <w:ind w:right="48" w:left="-15" w:firstLine="422"/>
        <w:jc w:val="both"/>
        <w:rPr>
          <w:rFonts w:ascii="Times New Roman" w:hAnsi="Times New Roman" w:cs="Times New Roman" w:eastAsia="Times New Roman"/>
          <w:color w:val="000000"/>
          <w:spacing w:val="0"/>
          <w:position w:val="0"/>
          <w:sz w:val="24"/>
          <w:shd w:fill="auto" w:val="clear"/>
        </w:rPr>
      </w:pPr>
    </w:p>
    <w:p>
      <w:pPr>
        <w:spacing w:before="0" w:after="0" w:line="240"/>
        <w:ind w:right="48" w:left="-15" w:firstLine="422"/>
        <w:jc w:val="both"/>
        <w:rPr>
          <w:rFonts w:ascii="Times New Roman" w:hAnsi="Times New Roman" w:cs="Times New Roman" w:eastAsia="Times New Roman"/>
          <w:color w:val="000000"/>
          <w:spacing w:val="0"/>
          <w:position w:val="0"/>
          <w:sz w:val="24"/>
          <w:shd w:fill="auto" w:val="clear"/>
        </w:rPr>
      </w:pPr>
    </w:p>
    <w:p>
      <w:pPr>
        <w:spacing w:before="0" w:after="0" w:line="240"/>
        <w:ind w:right="48" w:left="-15" w:firstLine="422"/>
        <w:jc w:val="both"/>
        <w:rPr>
          <w:rFonts w:ascii="Times New Roman" w:hAnsi="Times New Roman" w:cs="Times New Roman" w:eastAsia="Times New Roman"/>
          <w:color w:val="000000"/>
          <w:spacing w:val="0"/>
          <w:position w:val="0"/>
          <w:sz w:val="24"/>
          <w:shd w:fill="auto" w:val="clear"/>
        </w:rPr>
      </w:pPr>
    </w:p>
    <w:p>
      <w:pPr>
        <w:spacing w:before="0" w:after="0" w:line="240"/>
        <w:ind w:right="48" w:left="-15" w:firstLine="422"/>
        <w:jc w:val="both"/>
        <w:rPr>
          <w:rFonts w:ascii="Times New Roman" w:hAnsi="Times New Roman" w:cs="Times New Roman" w:eastAsia="Times New Roman"/>
          <w:color w:val="000000"/>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Мъглиж са разкрити 2 социални услуги, всичките се предоставят в  гр. Мъглиж. Общият капацитет на социалните услуги е за 58 потребители, в т.ч. 28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526"/>
        <w:gridCol w:w="2254"/>
        <w:gridCol w:w="3280"/>
      </w:tblGrid>
      <w:tr>
        <w:trPr>
          <w:trHeight w:val="1" w:hRule="atLeast"/>
          <w:jc w:val="left"/>
        </w:trPr>
        <w:tc>
          <w:tcPr>
            <w:tcW w:w="352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25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w:t>
            </w:r>
          </w:p>
        </w:tc>
        <w:tc>
          <w:tcPr>
            <w:tcW w:w="328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352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2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32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52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2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32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28</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Мъглиж</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Мъглиж е 56</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47</w:t>
            </w:r>
          </w:p>
        </w:tc>
      </w:tr>
    </w:tbl>
    <w:p>
      <w:pPr>
        <w:spacing w:before="0" w:after="0" w:line="240"/>
        <w:ind w:right="0" w:left="0" w:firstLine="709"/>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Мъглиж,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Мъглиж няма потребители на социални услуги от други общини.</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Мъглиж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Като резултат от наблюдаваното цялостно негативно демографско развитие, ситуацията на общинско ниво не е изключение от проявяващите се неблагоприятни тенденции, характеризиращи демографското развитие на националната територия. Анализът акцентира върху състоянието на човешките ресурси, в контекста на тяхната роля и значимост на ключов елемент за развитието на дадена територия. Стойностите на показателите за динамика на населението, раждаемост, смъртност, естествен и механичен прираст разкриват, че територията на община Мъглиж не прави изключение от негативната тенденция на демографско развитие на национално ниво.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на територията на община Мъглиж разполагат с достатъчен и квалифициран персонал. Няма незаети щатни бройки в социалните услуги, предоставяне на територията на община Мъглиж. Услугите функционират оптимално съобразно определените минимални изисквания за стандартите за качество на социалните услуги. </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информация на ДБТ Мъглиж няма регистрирани безработни лица с медицинско образование, както и с образование в областта на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Хуманитарните науки“ и такива с предишен опит в социалните услуги. </w:t>
      </w:r>
      <w:r>
        <w:rPr>
          <w:rFonts w:ascii="Times New Roman" w:hAnsi="Times New Roman" w:cs="Times New Roman" w:eastAsia="Times New Roman"/>
          <w:color w:val="000000"/>
          <w:spacing w:val="0"/>
          <w:position w:val="0"/>
          <w:sz w:val="24"/>
          <w:shd w:fill="auto" w:val="clear"/>
        </w:rPr>
        <w:t xml:space="preserve">Във връзка с декомпозирането на съществуващите към момента социални услуги на територията на община Мъглиж се извежда прогнозен брой от 73 служители с оглед на оптимално функциониране на социалните и интегрираните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6619"/>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НИКОЛАЕВО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Николаево информацията за населението по настоящ адрес е получена от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гр. Гурково,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 гр. Казанлък, служба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Гражданска администрация и административно обслужване" към Общинска администрация гр. Николаево, РЗИ гр. Стара Загора.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Николаево, към 31.12.2021 г. е 5192 жители, от тях 1595 деца до 18-годишна възраст (30,7%). Общия брой на лицата с трайни увреждания е 327, от тях деца 15 (4,6%).</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Николаево са разкрити 2 социални услуги, всичките се предоставят в гр. Николаево. Общият капацитет на социалните услуги е за 29 потребители, в т.ч. 9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526"/>
        <w:gridCol w:w="2254"/>
        <w:gridCol w:w="3280"/>
      </w:tblGrid>
      <w:tr>
        <w:trPr>
          <w:trHeight w:val="1" w:hRule="atLeast"/>
          <w:jc w:val="left"/>
        </w:trPr>
        <w:tc>
          <w:tcPr>
            <w:tcW w:w="3526"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254"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w:t>
            </w:r>
          </w:p>
        </w:tc>
        <w:tc>
          <w:tcPr>
            <w:tcW w:w="3280"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left"/>
        </w:trPr>
        <w:tc>
          <w:tcPr>
            <w:tcW w:w="352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2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32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52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2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32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Николаево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 социалните услуги, които се предоставят на общинско ниво няма регистрирани чакащи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Николаево,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потребители с различен от общината адрес на социални и интегрирани здравно-социални услуги на територията на община Николаево.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Николаево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Данните показват, че процесът на намаляване броя на населението е устойчив. Във всички населени места населението бележи спад. Процесът на обезлюдяване, характерен и за страната като цяло, засяга община Николаево със същите темпове, които са характерни за преобладаващата част от селските общини в страната.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съпоставка на данните за брой на назначени служители и брой незаети длъжности към момента на извършването на анализа по утвърдените щатни разписания във всяка услуга, както и въз основа на определените минимални изисквания в стандартите за качество на социалните услуги, касаещи броя и квалификацията на необходимите служители се вижда, че има незаети 3 щатни бройки. Във връзка с предложенията за увеличаване на капацитета на предоставяните услуги, се налага увеличаване на броя на служителите, работещи и предоставящи социални услуги до 3 щатни бройки;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постъпилата информация на ДБТ, няма регистрирани безработни лица, жители на община Николаево с образование в областта на хуманитарните науки и медицинско образование. Общ брой на регистрираните безработни лица с опит в сферата на социалните услуги са 8.</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6630"/>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ОПАН</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са използвани официални източници на информация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Национален статистически институт НСИ</w:t>
      </w:r>
      <w:r>
        <w:rPr>
          <w:rFonts w:ascii="Cambria Math" w:hAnsi="Cambria Math" w:cs="Cambria Math" w:eastAsia="Cambria Math"/>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Специфична информация предоставена от Общинска администрация Опан,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Стара Загора (ДСП),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 Стара Загора(ДБТ), НОИ Стара Загора, Общинска администрация Опан - експертите отговорни за социални, образователни и хуманитарни дейности, ГРАО.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Опан, към 31.12.2021 г. е 2734 жители, от тях 312 деца до 18-годишна възраст (11,4%). Общия брой на лицата с трайни увреждания е 284, от тях деца 8 (2,8%).</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Опан е разкрита 1 социални услуги, която се предоставя в 5(пет) населени места на територията на общината: с. Княжевско, с. Васил Левски, с. Средец, с. Бял извор, с. Бяло поле. Общият капацитет на социалните услуги е за 16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276"/>
        <w:gridCol w:w="4784"/>
      </w:tblGrid>
      <w:tr>
        <w:trPr>
          <w:trHeight w:val="1" w:hRule="atLeast"/>
          <w:jc w:val="left"/>
        </w:trPr>
        <w:tc>
          <w:tcPr>
            <w:tcW w:w="427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478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4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47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47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r>
    </w:tbl>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Опан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Опан е 5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Асистентска подкрепа</w:t>
            </w:r>
          </w:p>
        </w:tc>
        <w:tc>
          <w:tcPr>
            <w:tcW w:w="59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Опан,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лица ползващи социални и интегрирани здравно-социални услуги от други общини.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Опан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Основните причини за намаляване на населението включват относително голям брой лица на възраст над 65 г., по-малката част от населението от женски пол, достигащо фертилна възраст.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на територията на община Опан са обезпечени с необходимия брой специалисти и обслужващ персонал.</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информация на ДБТ са регистрирани 8 безработни лица с опит в социалните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реда на глава втора от Закона за социалните услуги община Опан не отговаря на критериите за определяне на брой потребители на социални и интегрирани здравно социални услуги и включването им в националната карта на социалните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6649"/>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ПАВЕЛ БАНЯ</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са използвани официални източници на информация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данни на Националния статистически институт, инструментите на ГРАО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Национална база данни, ДСП, ДБТ.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Павел баня, към 31.12.2021 г. е 14169 жители, от тях 2679 деца до 18-годишна възраст (18,9%). Общия брой на лицата с трайни увреждания е 1090, от тях деца 36 (3,3%).</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Павел баня са разкрити 4 социални услуги, 1 от социалните услуги се предоставят в гр. Павел баня, 1 в с. Манолово, общ. Павел баня, 1 в с. Асен, общ. Павел баня и 1 в с. Търничени, общ. Павел баня. Общият капацитет на социалните услуги е за 101 потребители, в т.ч. 36 асистентска подкрепа и 15 ДСХ.</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013"/>
        <w:gridCol w:w="1776"/>
        <w:gridCol w:w="1430"/>
        <w:gridCol w:w="1716"/>
        <w:gridCol w:w="1125"/>
      </w:tblGrid>
      <w:tr>
        <w:trPr>
          <w:trHeight w:val="1" w:hRule="atLeast"/>
          <w:jc w:val="left"/>
        </w:trPr>
        <w:tc>
          <w:tcPr>
            <w:tcW w:w="301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77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ДЦСХ</w:t>
            </w:r>
          </w:p>
        </w:tc>
        <w:tc>
          <w:tcPr>
            <w:tcW w:w="143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171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w:t>
            </w:r>
          </w:p>
        </w:tc>
        <w:tc>
          <w:tcPr>
            <w:tcW w:w="112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30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7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0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7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4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17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1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36</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Павел Баня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Павел баня е 13 лица. 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Павел баня, различна от общината по настоящ адрес</w:t>
      </w:r>
    </w:p>
    <w:tbl>
      <w:tblPr/>
      <w:tblGrid>
        <w:gridCol w:w="4012"/>
        <w:gridCol w:w="5048"/>
      </w:tblGrid>
      <w:tr>
        <w:trPr>
          <w:trHeight w:val="1" w:hRule="atLeast"/>
          <w:jc w:val="left"/>
        </w:trPr>
        <w:tc>
          <w:tcPr>
            <w:tcW w:w="401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Вид СУ</w:t>
            </w:r>
          </w:p>
        </w:tc>
        <w:tc>
          <w:tcPr>
            <w:tcW w:w="504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Брой потребители от други общини</w:t>
            </w:r>
          </w:p>
        </w:tc>
      </w:tr>
      <w:tr>
        <w:trPr>
          <w:trHeight w:val="1" w:hRule="atLeast"/>
          <w:jc w:val="left"/>
        </w:trPr>
        <w:tc>
          <w:tcPr>
            <w:tcW w:w="4012" w:type="dxa"/>
            <w:tcBorders>
              <w:top w:val="single" w:color="000000" w:sz="4"/>
              <w:left w:val="single" w:color="000000" w:sz="8"/>
              <w:bottom w:val="single" w:color="000000" w:sz="8"/>
              <w:right w:val="single" w:color="000000" w:sz="8"/>
            </w:tcBorders>
            <w:shd w:color="auto"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ДСХ</w:t>
            </w:r>
          </w:p>
        </w:tc>
        <w:tc>
          <w:tcPr>
            <w:tcW w:w="5048" w:type="dxa"/>
            <w:tcBorders>
              <w:top w:val="single" w:color="000000" w:sz="4"/>
              <w:left w:val="single" w:color="000000" w:sz="0"/>
              <w:bottom w:val="single" w:color="000000" w:sz="8"/>
              <w:right w:val="single" w:color="000000" w:sz="8"/>
            </w:tcBorders>
            <w:shd w:color="auto"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Павел Баня, от други общини е 6</w:t>
      </w:r>
      <w:r>
        <w:rPr>
          <w:rFonts w:ascii="Times New Roman" w:hAnsi="Times New Roman" w:cs="Times New Roman" w:eastAsia="Times New Roman"/>
          <w:i/>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Павел баня не се предоставят интегрирани здравно-социални услуги.</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Павел баня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Общата тенденция е на застаряване на населението на община Павел баня Възрастовата структура на населението на общината е неблагоприятна и се характеризира с висок дял на населението в трудоспособна възраст, чийто относителен дял през последните години нараства, а делът на населението в под трудоспособна възраст леко намалява. Ясно отчетливи са процесите на застаряване на населението и ниската степен на възпроизводство на населението.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Тенденциите в демографските показатели, следват общите тенденции в демографското развитие на цялата страна - намалена  раждаемост, увеличена смъртност, засилена урбанизация и интензивна емиграция поради голямата безработица.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33"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Назначеният персонал в социалните услуги разположени на територията на община Казанлък запазва своята стабилност по отношение запазването на работните места, като не се наблюдава текучество.</w:t>
      </w:r>
      <w:r>
        <w:rPr>
          <w:rFonts w:ascii="Times New Roman" w:hAnsi="Times New Roman" w:cs="Times New Roman" w:eastAsia="Times New Roman"/>
          <w:color w:val="auto"/>
          <w:spacing w:val="0"/>
          <w:position w:val="0"/>
          <w:sz w:val="24"/>
          <w:shd w:fill="auto" w:val="clear"/>
        </w:rPr>
        <w:t xml:space="preserve"> Налице е 1 свободни щатни бройки.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Назначеният персонал постоянно и методично надгражда и усъвършенства своите знания и умения, като участва в обучения и работни срещи. </w:t>
      </w:r>
      <w:r>
        <w:rPr>
          <w:rFonts w:ascii="Times New Roman" w:hAnsi="Times New Roman" w:cs="Times New Roman" w:eastAsia="Times New Roman"/>
          <w:color w:val="auto"/>
          <w:spacing w:val="0"/>
          <w:position w:val="0"/>
          <w:sz w:val="24"/>
          <w:shd w:fill="auto" w:val="clear"/>
        </w:rPr>
        <w:t xml:space="preserve">От предоставената информация от АЗ става ясно, че общия брой </w:t>
      </w:r>
      <w:r>
        <w:rPr>
          <w:rFonts w:ascii="Times New Roman" w:hAnsi="Times New Roman" w:cs="Times New Roman" w:eastAsia="Times New Roman"/>
          <w:color w:val="000000"/>
          <w:spacing w:val="0"/>
          <w:position w:val="0"/>
          <w:sz w:val="24"/>
          <w:shd w:fill="auto" w:val="clear"/>
        </w:rPr>
        <w:t xml:space="preserve">на регистрираните лица с опит в социалните услуги.</w:t>
      </w:r>
    </w:p>
    <w:p>
      <w:pPr>
        <w:spacing w:before="0" w:after="0" w:line="240"/>
        <w:ind w:right="33"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Във връзка с декомпозирането на съществуващите към момента социални услуги на територията на община Павел баня се извежда следният прогнозен брой за 3 нови служители с оглед на оптимално функциониране на социалните и интегрираните здравно-социални услуги.</w:t>
      </w:r>
    </w:p>
    <w:p>
      <w:pPr>
        <w:spacing w:before="0" w:after="0" w:line="240"/>
        <w:ind w:right="33"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6677"/>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РАДНЕВО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са използвани официални източници на информация</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ГРАО, Национална база данни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Население“, локална база данни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Население“, РУО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Видин, РДСП, РЗИ, НСИ, ДСП, ДБТ.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Раднево, към 31.12.2021 г. е 18567 жители, от тях 2886 деца до 18-годишна възраст (15,5%). Общия брой на лицата с трайни увреждания е 1601 от тях деца 41 (2,6%).</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Раднево са разкрити 5 социални услуги, и всички се предоставят в гр. Раднево. Общият капацитет на социалните услуги е за 179 потребители, в т.ч. 63 асистентска подкрепа и 6 в ДСХ.</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271"/>
        <w:gridCol w:w="2036"/>
        <w:gridCol w:w="1040"/>
        <w:gridCol w:w="1111"/>
        <w:gridCol w:w="1301"/>
        <w:gridCol w:w="1301"/>
      </w:tblGrid>
      <w:tr>
        <w:trPr>
          <w:trHeight w:val="1" w:hRule="atLeast"/>
          <w:jc w:val="left"/>
        </w:trPr>
        <w:tc>
          <w:tcPr>
            <w:tcW w:w="227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03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104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111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130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w:t>
            </w:r>
          </w:p>
        </w:tc>
        <w:tc>
          <w:tcPr>
            <w:tcW w:w="130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22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0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0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3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3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2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0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10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11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c>
          <w:tcPr>
            <w:tcW w:w="13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55</w:t>
            </w:r>
          </w:p>
        </w:tc>
        <w:tc>
          <w:tcPr>
            <w:tcW w:w="13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63</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Раднево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Раднево е 3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Раднево, различна от  общината по настоящ адрес</w:t>
      </w:r>
    </w:p>
    <w:tbl>
      <w:tblPr/>
      <w:tblGrid>
        <w:gridCol w:w="4012"/>
        <w:gridCol w:w="5048"/>
      </w:tblGrid>
      <w:tr>
        <w:trPr>
          <w:trHeight w:val="1" w:hRule="atLeast"/>
          <w:jc w:val="left"/>
        </w:trPr>
        <w:tc>
          <w:tcPr>
            <w:tcW w:w="401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504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012"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ЦНДТДБУ</w:t>
            </w:r>
          </w:p>
        </w:tc>
        <w:tc>
          <w:tcPr>
            <w:tcW w:w="5048"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w:t>
            </w:r>
          </w:p>
        </w:tc>
      </w:tr>
      <w:tr>
        <w:trPr>
          <w:trHeight w:val="1" w:hRule="atLeast"/>
          <w:jc w:val="left"/>
        </w:trPr>
        <w:tc>
          <w:tcPr>
            <w:tcW w:w="4012"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5048"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Раднево, от други общини е 12.</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Раднево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Видно от приложената таблицата, през последните 5 години се отчита намаляване на населението в община Раднево, което е следствие от отрицателните естествен и механичен прираст. Налице е спад на нивото на раждаемостта в периода 2017-2021 година, на фона на увеличената смъртност. Отрицателният естествен прираст показва, че при запазване на тази тенденция ще се ограничи възможността за естественото възпроизводство на населението през следващите години. Този проблем ще рефлектира и върху бъдещата възрастова структура на населението в общината, както и върху трудовия пазар.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предоставените данни за наличните социални услуги на територията на община Раднево е видно, че те са обезпечени с необходимите категории служители, необходими за предоставяне на съответните услуги. В услугите има 1,75 незаета щатна бройка. Община Раднево в качеството си на доставчик на социални услуги, изпълнява задълженията си за осигуряване на професионално и кариерно развитие на служителите, работещи в социалните услуги, функциониращи на територията на общината. Работещите в социалните услуги на територията на община Раднево преминават през въвеждащо обучение и надграждащо обучение, индивидуални и групови супервизии.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трансформирането на съществуващите социални услуги и декомпозирането им по дейности, съгласно чл.15 от Закон за социалните услуги,</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както и за обезпечаването на общодостъпната социална услуга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Мобилна превантивна общностна работа“ и въз основа на определените минимални изисквания в стандартите за качество на социалните услуги, касаещи броя и квалификацията на необходимите служители се извежда потребност от допълнително 10 броя служители, от които 5 броя </w:t>
      </w:r>
      <w:r>
        <w:rPr>
          <w:rFonts w:ascii="Times New Roman" w:hAnsi="Times New Roman" w:cs="Times New Roman" w:eastAsia="Times New Roman"/>
          <w:color w:val="000000"/>
          <w:spacing w:val="0"/>
          <w:position w:val="0"/>
          <w:sz w:val="24"/>
          <w:shd w:fill="auto" w:val="clear"/>
        </w:rPr>
        <w:t xml:space="preserve">препоръчителни специалисти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юрист, трудотерапевт, ерготерапевт, лице с медицинско образование, специалист социални дейности, както и от 5 броя служители пряко ангажирани с обслужването на потребителите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медиатор; социален сътрудник и асистент.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информация на ДБТ регистрираните безработни лица с образование в областта на хуманитарните науки са 4, а тези с опит в сферата на социалните услуги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15 </w:t>
      </w:r>
      <w:r>
        <w:rPr>
          <w:rFonts w:ascii="Times New Roman" w:hAnsi="Times New Roman" w:cs="Times New Roman" w:eastAsia="Times New Roman"/>
          <w:color w:val="auto"/>
          <w:spacing w:val="0"/>
          <w:position w:val="0"/>
          <w:sz w:val="24"/>
          <w:shd w:fill="auto" w:val="clear"/>
        </w:rPr>
        <w:t xml:space="preserve">лица.</w:t>
      </w:r>
    </w:p>
    <w:p>
      <w:pPr>
        <w:keepNext w:val="true"/>
        <w:numPr>
          <w:ilvl w:val="0"/>
          <w:numId w:val="6704"/>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8"/>
          <w:shd w:fill="auto" w:val="clear"/>
        </w:rPr>
        <w:t xml:space="preserve"> </w:t>
      </w:r>
      <w:r>
        <w:rPr>
          <w:rFonts w:ascii="Times New Roman" w:hAnsi="Times New Roman" w:cs="Times New Roman" w:eastAsia="Times New Roman"/>
          <w:b/>
          <w:color w:val="003366"/>
          <w:spacing w:val="0"/>
          <w:position w:val="0"/>
          <w:sz w:val="24"/>
          <w:shd w:fill="auto" w:val="clear"/>
        </w:rPr>
        <w:t xml:space="preserve">ОБЩИНА СТАРА ЗАГОРА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са използвани официални източници на информация- ГРАО,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 Дирекция Социално подпомагане, РЗИ, Национален статистически институт.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Стара Загора, към 31.12.2021 г. е 151 096 жители, от тях 29 560 деца до 18-годишна възраст (19,6%). Общия брой на лицата с трайни увреждания е 13 732, от тях деца 547 (4,0%).</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Стара Загора са разкрити 28 социални услуги, които се предоставят като държавно делегирана дейност. От тях, 6 социални услуги са възложени за управление, след проведени конкурси на 3-ма външни лицензирани частни доставчици на социални услуги, съгласно Закона за социалните услуги, а останалите се управляват от община Стара Загора.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капацитет на социалните услуги е за 963 потребители, в т.ч. 386 асистентска подкрепа 101 в ДСХ.</w:t>
      </w:r>
    </w:p>
    <w:tbl>
      <w:tblPr/>
      <w:tblGrid>
        <w:gridCol w:w="1590"/>
        <w:gridCol w:w="1525"/>
        <w:gridCol w:w="1621"/>
        <w:gridCol w:w="749"/>
        <w:gridCol w:w="944"/>
        <w:gridCol w:w="728"/>
        <w:gridCol w:w="640"/>
        <w:gridCol w:w="1122"/>
      </w:tblGrid>
      <w:tr>
        <w:trPr>
          <w:trHeight w:val="1" w:hRule="atLeast"/>
          <w:jc w:val="left"/>
        </w:trPr>
        <w:tc>
          <w:tcPr>
            <w:tcW w:w="159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52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162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74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ЦВН</w:t>
            </w:r>
          </w:p>
        </w:tc>
        <w:tc>
          <w:tcPr>
            <w:tcW w:w="94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КЦПЛ</w:t>
            </w:r>
          </w:p>
        </w:tc>
        <w:tc>
          <w:tcPr>
            <w:tcW w:w="72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ЗМБ</w:t>
            </w:r>
          </w:p>
        </w:tc>
        <w:tc>
          <w:tcPr>
            <w:tcW w:w="64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НЖ</w:t>
            </w:r>
          </w:p>
        </w:tc>
        <w:tc>
          <w:tcPr>
            <w:tcW w:w="112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r>
      <w:tr>
        <w:trPr>
          <w:trHeight w:val="1" w:hRule="atLeast"/>
          <w:jc w:val="left"/>
        </w:trPr>
        <w:tc>
          <w:tcPr>
            <w:tcW w:w="15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5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c>
          <w:tcPr>
            <w:tcW w:w="16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7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7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1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15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5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70</w:t>
            </w:r>
          </w:p>
        </w:tc>
        <w:tc>
          <w:tcPr>
            <w:tcW w:w="16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7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9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7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1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588"/>
        <w:gridCol w:w="1249"/>
        <w:gridCol w:w="1220"/>
        <w:gridCol w:w="1178"/>
        <w:gridCol w:w="1410"/>
        <w:gridCol w:w="835"/>
        <w:gridCol w:w="1580"/>
      </w:tblGrid>
      <w:tr>
        <w:trPr>
          <w:trHeight w:val="1" w:hRule="atLeast"/>
          <w:jc w:val="left"/>
        </w:trPr>
        <w:tc>
          <w:tcPr>
            <w:tcW w:w="158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24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122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117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ЦСРИД</w:t>
            </w:r>
          </w:p>
        </w:tc>
        <w:tc>
          <w:tcPr>
            <w:tcW w:w="141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ЦСРИПЛ</w:t>
            </w:r>
          </w:p>
        </w:tc>
        <w:tc>
          <w:tcPr>
            <w:tcW w:w="83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158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r>
      <w:tr>
        <w:trPr>
          <w:trHeight w:val="1" w:hRule="atLeast"/>
          <w:jc w:val="left"/>
        </w:trPr>
        <w:tc>
          <w:tcPr>
            <w:tcW w:w="1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2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1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r>
        <w:trPr>
          <w:trHeight w:val="1" w:hRule="atLeast"/>
          <w:jc w:val="left"/>
        </w:trPr>
        <w:tc>
          <w:tcPr>
            <w:tcW w:w="1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2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72</w:t>
            </w:r>
          </w:p>
        </w:tc>
        <w:tc>
          <w:tcPr>
            <w:tcW w:w="12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c>
          <w:tcPr>
            <w:tcW w:w="11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4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35</w:t>
            </w:r>
          </w:p>
        </w:tc>
        <w:tc>
          <w:tcPr>
            <w:tcW w:w="8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80</w:t>
            </w:r>
          </w:p>
        </w:tc>
        <w:tc>
          <w:tcPr>
            <w:tcW w:w="1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68</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855"/>
        <w:gridCol w:w="2549"/>
        <w:gridCol w:w="2656"/>
      </w:tblGrid>
      <w:tr>
        <w:trPr>
          <w:trHeight w:val="1" w:hRule="atLeast"/>
          <w:jc w:val="left"/>
        </w:trPr>
        <w:tc>
          <w:tcPr>
            <w:tcW w:w="385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54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265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r>
      <w:tr>
        <w:trPr>
          <w:trHeight w:val="1" w:hRule="atLeast"/>
          <w:jc w:val="left"/>
        </w:trPr>
        <w:tc>
          <w:tcPr>
            <w:tcW w:w="385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5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6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85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5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386</w:t>
            </w:r>
          </w:p>
        </w:tc>
        <w:tc>
          <w:tcPr>
            <w:tcW w:w="26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101</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Стара Загора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Стара Загора е 22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59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ДЦПЛУ</w:t>
            </w:r>
          </w:p>
        </w:tc>
        <w:tc>
          <w:tcPr>
            <w:tcW w:w="59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ЗЖЛУИ</w:t>
            </w:r>
          </w:p>
        </w:tc>
        <w:tc>
          <w:tcPr>
            <w:tcW w:w="59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w:t>
            </w:r>
          </w:p>
        </w:tc>
      </w:tr>
    </w:tbl>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Стара Загора,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Стара Загора, от други общини е 85.</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929"/>
        <w:gridCol w:w="4121"/>
      </w:tblGrid>
      <w:tr>
        <w:trPr>
          <w:trHeight w:val="1" w:hRule="atLeast"/>
          <w:jc w:val="left"/>
        </w:trPr>
        <w:tc>
          <w:tcPr>
            <w:tcW w:w="4929" w:type="dxa"/>
            <w:tcBorders>
              <w:top w:val="single" w:color="000000" w:sz="8"/>
              <w:left w:val="single" w:color="000000" w:sz="8"/>
              <w:bottom w:val="single" w:color="000000" w:sz="8"/>
              <w:right w:val="single" w:color="000000" w:sz="8"/>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121" w:type="dxa"/>
            <w:tcBorders>
              <w:top w:val="single" w:color="000000" w:sz="8"/>
              <w:left w:val="single" w:color="000000" w:sz="0"/>
              <w:bottom w:val="single" w:color="000000" w:sz="8"/>
              <w:right w:val="single" w:color="000000" w:sz="8"/>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929"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ДЦДМУ</w:t>
            </w:r>
          </w:p>
        </w:tc>
        <w:tc>
          <w:tcPr>
            <w:tcW w:w="4121"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929"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ДЦПЛУ</w:t>
            </w:r>
          </w:p>
        </w:tc>
        <w:tc>
          <w:tcPr>
            <w:tcW w:w="4121"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929"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4121"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r>
        <w:trPr>
          <w:trHeight w:val="1" w:hRule="atLeast"/>
          <w:jc w:val="left"/>
        </w:trPr>
        <w:tc>
          <w:tcPr>
            <w:tcW w:w="4929"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ЦНСТДБУ</w:t>
            </w:r>
          </w:p>
        </w:tc>
        <w:tc>
          <w:tcPr>
            <w:tcW w:w="4121"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r>
        <w:trPr>
          <w:trHeight w:val="1" w:hRule="atLeast"/>
          <w:jc w:val="left"/>
        </w:trPr>
        <w:tc>
          <w:tcPr>
            <w:tcW w:w="4929"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ЦНСТДМУ</w:t>
            </w:r>
          </w:p>
        </w:tc>
        <w:tc>
          <w:tcPr>
            <w:tcW w:w="4121"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r>
        <w:trPr>
          <w:trHeight w:val="1" w:hRule="atLeast"/>
          <w:jc w:val="left"/>
        </w:trPr>
        <w:tc>
          <w:tcPr>
            <w:tcW w:w="4929"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ЦВН</w:t>
            </w:r>
          </w:p>
        </w:tc>
        <w:tc>
          <w:tcPr>
            <w:tcW w:w="4121"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4929"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ЗМБ</w:t>
            </w:r>
          </w:p>
        </w:tc>
        <w:tc>
          <w:tcPr>
            <w:tcW w:w="4121"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4929"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4121"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w:t>
            </w:r>
          </w:p>
        </w:tc>
      </w:tr>
      <w:tr>
        <w:trPr>
          <w:trHeight w:val="1" w:hRule="atLeast"/>
          <w:jc w:val="left"/>
        </w:trPr>
        <w:tc>
          <w:tcPr>
            <w:tcW w:w="4929"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ДПЛФУ</w:t>
            </w:r>
          </w:p>
        </w:tc>
        <w:tc>
          <w:tcPr>
            <w:tcW w:w="4121"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43</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Стара Загора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Наблюдава се намаляване на населението в трудоспособна възраст през периода. Преобладаващият брой на жените в общината е отражение и на съотношенията между половете на национално ниво. В областта половото разпределение на населението е идентично, както това в община Стара Загора. Факторите, оказващи влияние върху половата структура на една община са смъртност, раждаемост, продължителност на живота, мобилността и миграционната активност на населението.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Възрастовата структура на населението в Община Стара Загора показва постоянна тенденция към застаряване. Демографската картина за общината, както и за цялата страна е неблагоприятна, населението застарява, както в резултат на естествените процеси на раждаемост и смъртност, така и в резултат на засилените емиграционни процеси.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предоставените данни за наличните социални услуги на територията на община Стара Загора е видно, че </w:t>
      </w:r>
      <w:r>
        <w:rPr>
          <w:rFonts w:ascii="Times New Roman" w:hAnsi="Times New Roman" w:cs="Times New Roman" w:eastAsia="Times New Roman"/>
          <w:color w:val="000000"/>
          <w:spacing w:val="0"/>
          <w:position w:val="0"/>
          <w:sz w:val="24"/>
          <w:shd w:fill="auto" w:val="clear"/>
        </w:rPr>
        <w:t xml:space="preserve">към 31.12.2022г. </w:t>
      </w:r>
      <w:r>
        <w:rPr>
          <w:rFonts w:ascii="Times New Roman" w:hAnsi="Times New Roman" w:cs="Times New Roman" w:eastAsia="Times New Roman"/>
          <w:color w:val="auto"/>
          <w:spacing w:val="0"/>
          <w:position w:val="0"/>
          <w:sz w:val="24"/>
          <w:shd w:fill="auto" w:val="clear"/>
        </w:rPr>
        <w:t xml:space="preserve">незаети са 90,25 щатни бройки. Не във всички социални услуги са назначени служители, пряко ангажирани с обслужването на потребителите, предвид спецификата на предлаганата услуга. Съществен е проблемът с възрастовия показател на човешкия ресурс в социалните услуги. Част от наетите служители в социални услуги са в предпенсионна възраст и/или пенсионна възраст. Младите специалисти не са достатъчно мотивирани за работа в социалните услуги 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на терен”, въпреки съвместните инициативи на община Стара Загора и Тракийски университет Стара Загора за задържане на завършилите специалисти и предоставяните им възможности за провеждане на практики и пред дипломни стажове в общинска администрация и в социални услуги на община Стара Загора.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Стара Загора подкрепя служителите в социалните услуги чрез провеждане на поддържащи обучения, индивидуални и групови супервизии и работни срещи, насочени към повишаване на професионалните умения и подобряване качеството на грижа спрямо потребителите.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След декомпозиране на съществуващите социални услуги и преизчисление на необходимия персонал съгласно изискванията на НКСУ се установява, че ще е необходим допълнително 55,5 брой щатни брой за ефективното функциониране на социалните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6786"/>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ЧИРПАН</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са използвани официални източници на информация- Националният статистически институт; органи, които по силата на закон имат право да събират и администрират съответните данни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ДСП, РЗИ, ДБТ; налични данни Общинска администрация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ГРАО и отделите, отговорни за социални, образователни и хуманитарни дейности, данни от доставчиците на социални услуги, училища, лични лекари, териториално поделение на НСИ.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Чирпан, към 31.12.2021 г. е 21464 жители, от тях 4427 деца до 18-годишна възраст (20,6%). Общия брой на лицата с трайни увреждания е 1603, от тях деца 45 (2,8%).</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426"/>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Чирпан са разкрити 3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капацитет на социалните услуги е за 134 потребители, в т.ч. 60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232"/>
        <w:gridCol w:w="1580"/>
        <w:gridCol w:w="3041"/>
        <w:gridCol w:w="1207"/>
      </w:tblGrid>
      <w:tr>
        <w:trPr>
          <w:trHeight w:val="1" w:hRule="atLeast"/>
          <w:jc w:val="left"/>
        </w:trPr>
        <w:tc>
          <w:tcPr>
            <w:tcW w:w="323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8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304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120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3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30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60</w:t>
            </w:r>
          </w:p>
        </w:tc>
        <w:tc>
          <w:tcPr>
            <w:tcW w:w="30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12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60</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Чирпан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Чирпан е 9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Чирпан,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Чирпан, от други общини е 29.</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934"/>
        <w:gridCol w:w="4126"/>
      </w:tblGrid>
      <w:tr>
        <w:trPr>
          <w:trHeight w:val="1" w:hRule="atLeast"/>
          <w:jc w:val="left"/>
        </w:trPr>
        <w:tc>
          <w:tcPr>
            <w:tcW w:w="493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12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9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ЦНСТДМУ</w:t>
            </w:r>
          </w:p>
        </w:tc>
        <w:tc>
          <w:tcPr>
            <w:tcW w:w="41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r>
      <w:tr>
        <w:trPr>
          <w:trHeight w:val="1" w:hRule="atLeast"/>
          <w:jc w:val="left"/>
        </w:trPr>
        <w:tc>
          <w:tcPr>
            <w:tcW w:w="49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41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Чирпан за последните 5 години</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Възрастовата структура на населението в общината показва постоянна тенденция към застаряване. Демографската картина за община Чирпан, както и за цялата страна, е неблагоприятна, населението застарява в резултат на естествените процеси на раждаемост и смъртност, така и в резултат на засилените емиграционни процеси.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23"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Във всички функциониращи услуги на територията на община Чирпан, служителите извършващи дейности са назначени, съгласно утвърдено щатно разписание за съответната услуга и стандартите за качество, съгласно Наредбата за качество на социалните услуги. Съществен е проблемът с възрастовия показател на човешкия ресурс в социалните услуги. Прави впечатление, че част от наетите служители в социални услуги са в предпенсионна възраст и/или пенсионна възраст.</w:t>
      </w:r>
    </w:p>
    <w:p>
      <w:pPr>
        <w:spacing w:before="0" w:after="0" w:line="240"/>
        <w:ind w:right="23"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Община Чирпан подкрепя служителите в социалните услуги, чрез провеждане на поддържащи обучения, супервизии и работни срещи, насочени към повишаване на професионалните умения и подобряване качеството на грижа спрямо потребителите.</w:t>
      </w:r>
    </w:p>
    <w:p>
      <w:pPr>
        <w:spacing w:before="0" w:after="0" w:line="240"/>
        <w:ind w:right="23"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 цел укрепване на капацитета на служителите в сферата на социалните услуги и дейности, община Чирпан е подала проектно предложение по П РЧР 2021-2027.</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След декомпозиране на съществуващите социални услуги и преизчисление на необходимия персонал съгласно изискванията на НКСУ се установява, че ще е необходим допълнително 10 брой щатни брой за ефективното функциониране на социалните услуги. От предоставената информация от ДБТ, с регистрация като безработни и активно търсещи работа лица са 3 медицинско образование и 37 лица с предишен опит в предоставянето на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6823"/>
        </w:numPr>
        <w:tabs>
          <w:tab w:val="left" w:pos="718" w:leader="none"/>
        </w:tabs>
        <w:spacing w:before="0" w:after="0" w:line="240"/>
        <w:ind w:right="0" w:left="142"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АНАЛИЗ НА ПОТРЕБНОСТИТЕ В ОБЛАСТ СТАРА ЗАГОРА (обобщено)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общините от област Стара Загора информацията за населението критериите съгласно Наредбата за планиране на социалните услуги е получена от информационна система ГРАО на общините, Агенция за хората с увреждания, РЗИ, от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от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 кметове и кметски наместници, училища, лечебни заведения, социални услуги и др.</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обобщени за област Стара Загора по общини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област Стара Загора, към 31.12.2021 г. е 323 202 жители, от тях 62 391 деца до 18-годишна възраст (19,3 %). Общия брой на лицата с трайни увреждания е 26 378, от тях деца 990 (3,8%).</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областта: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брои на социалните услуги на територията на област Стара Загора е 69 с 2612 потребители. Броят на социалните услуги за пълнолетни лица е 40, с 1912 потребители.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за деца са 29 със 700 потребители.</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графиките е видно, че на територията на област Стара Загора преобладават услугите за: услугите в домашна среда (АП)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услуга за 834 потребители; консултативни услуги (ДЦ, ЦСРИ, ЦОП, ЗМБ)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7 </w:t>
      </w:r>
      <w:r>
        <w:rPr>
          <w:rFonts w:ascii="Times New Roman" w:hAnsi="Times New Roman" w:cs="Times New Roman" w:eastAsia="Times New Roman"/>
          <w:color w:val="auto"/>
          <w:spacing w:val="0"/>
          <w:position w:val="0"/>
          <w:sz w:val="24"/>
          <w:shd w:fill="auto" w:val="clear"/>
        </w:rPr>
        <w:t xml:space="preserve">услуги за 790 потребители; услугите в специализирани институции за пълнолетни лица (ДПЛД, ДПЛПР, ДПЛФУ, ДСХ) - 4 услуги за 687 потребители; резидентна грижа (ЦНСТ, ЗЖ, НЖ,ЦВН) - 6 услуги за 301 потребители.</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област Стара Загора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387"/>
        <w:gridCol w:w="4673"/>
      </w:tblGrid>
      <w:tr>
        <w:trPr>
          <w:trHeight w:val="1" w:hRule="atLeast"/>
          <w:jc w:val="left"/>
        </w:trPr>
        <w:tc>
          <w:tcPr>
            <w:tcW w:w="438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467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43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Асистентска подкрепа</w:t>
            </w:r>
          </w:p>
        </w:tc>
        <w:tc>
          <w:tcPr>
            <w:tcW w:w="46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127</w:t>
            </w:r>
          </w:p>
        </w:tc>
      </w:tr>
      <w:tr>
        <w:trPr>
          <w:trHeight w:val="1" w:hRule="atLeast"/>
          <w:jc w:val="left"/>
        </w:trPr>
        <w:tc>
          <w:tcPr>
            <w:tcW w:w="43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ДЦПЛУ</w:t>
            </w:r>
          </w:p>
        </w:tc>
        <w:tc>
          <w:tcPr>
            <w:tcW w:w="46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43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ДПЛД</w:t>
            </w:r>
          </w:p>
        </w:tc>
        <w:tc>
          <w:tcPr>
            <w:tcW w:w="46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49</w:t>
            </w:r>
          </w:p>
        </w:tc>
      </w:tr>
      <w:tr>
        <w:trPr>
          <w:trHeight w:val="1" w:hRule="atLeast"/>
          <w:jc w:val="left"/>
        </w:trPr>
        <w:tc>
          <w:tcPr>
            <w:tcW w:w="43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ДПЛПР </w:t>
            </w:r>
          </w:p>
        </w:tc>
        <w:tc>
          <w:tcPr>
            <w:tcW w:w="46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3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ДПЛФУ</w:t>
            </w:r>
          </w:p>
        </w:tc>
        <w:tc>
          <w:tcPr>
            <w:tcW w:w="46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43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46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r>
        <w:trPr>
          <w:trHeight w:val="1" w:hRule="atLeast"/>
          <w:jc w:val="left"/>
        </w:trPr>
        <w:tc>
          <w:tcPr>
            <w:tcW w:w="43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ЗЖЛУИ</w:t>
            </w:r>
          </w:p>
        </w:tc>
        <w:tc>
          <w:tcPr>
            <w:tcW w:w="46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47</w:t>
            </w:r>
          </w:p>
        </w:tc>
      </w:tr>
      <w:tr>
        <w:trPr>
          <w:trHeight w:val="1" w:hRule="atLeast"/>
          <w:jc w:val="left"/>
        </w:trPr>
        <w:tc>
          <w:tcPr>
            <w:tcW w:w="43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ЦНСТДМУ</w:t>
            </w:r>
          </w:p>
        </w:tc>
        <w:tc>
          <w:tcPr>
            <w:tcW w:w="46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43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ЦСРИД</w:t>
            </w:r>
          </w:p>
        </w:tc>
        <w:tc>
          <w:tcPr>
            <w:tcW w:w="46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Общо 254 лица са включени в списъците на чакащите за ползване на социални услуги в териториалния обхват на област Стара Загора. Голям е и броят на лицата за включване в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област Стара Загора, различна от  общината по настоящ адрес</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635"/>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и интегрирани здравно-социални услуги на територията на област Стара Загора, различна от общината по настоящ адрес е 267. Най-голям е техният брой в социалните услуги на територията на общините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Казанлък, Стара Загора, следвани от общините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Чирпан, Гълъбово, Раднево, Павел баня. Впечатление прави, че потребителите на услугите в по-голямата част са от общините на територията на областта.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следващата графика е представено сравнение между функциониращите към момента социални услуги, финансирани от държавния бюджет, съотнесени към социалните услуги по чл. 15 от ЗСУ, максималния брой потребители, съгласно критериите по Наредбата за планиране на социалните услуги и поетите ангажименти от общините в областта.</w:t>
      </w:r>
    </w:p>
    <w:p>
      <w:pPr>
        <w:spacing w:before="0" w:after="0" w:line="240"/>
        <w:ind w:right="0" w:left="0" w:firstLine="635"/>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област Стара Загора за последните 5 години</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Анализа на данните на демографското развитие в област Стара Загора за периода 2021 г.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2017 </w:t>
      </w:r>
      <w:r>
        <w:rPr>
          <w:rFonts w:ascii="Times New Roman" w:hAnsi="Times New Roman" w:cs="Times New Roman" w:eastAsia="Times New Roman"/>
          <w:color w:val="auto"/>
          <w:spacing w:val="0"/>
          <w:position w:val="0"/>
          <w:sz w:val="24"/>
          <w:shd w:fill="auto" w:val="clear"/>
        </w:rPr>
        <w:t xml:space="preserve">г. показва тенденция към намаление на броя на населението във всички общини.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Във всички общини се отчита ниска раждаемост с тенденция към намаление, висока смъртност и отрицателен естествен прираст. Прогресивно намаляване на относителния дял на лицата в трудоспособна възраст. Устойчива тенденция към емиграция и обезлюдяване. Висок е броя на хората с увреждания, както и на самотно живеещите стари хора от селата в общината, с невъзможност за самообслужване.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Всички тези фактори, показват че на територията на общината населението застарява и има необходимост от социални услуги за резидентна грижа и услуги в домашна среда.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Предизвикателство пред общините е и миграцията на населението в трудоспособна възраст към европейски страни, което създава сериозни рискове за децата от тези семейства по отношение на пълноценната родителска грижа, образованието и развитието им.</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Във връзка с декомпозирането на съществуващите към момента социални услуги на територията на област Стара Загора се извежда потребност от увеличение на брой служители ангажирани в социалните услуги, предоставяни в областта, с оглед на оптимално функциониране на социалните и интегрираните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По-голяма част от социалните услуги в областта са обезпечени със служители, необходими за предоставянето им. Общините са използвали различни възможности за наемане на необходимите служители за извършване на дейностите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специалисти се търсят както в Дирекции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Бюра по труда“, така и на свободния пазар, като на работа се наемат и пенсионери. На база на предоставената от общините информация за заетостта на служителите в социалните услуги, се очертава тенденция за недостиг основно на медицински специалисти.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Една от предпоставките за ефективност на социалните услуги е наличието на квалифициран и мотивиран персонал. Развитието и обучението на човешките ресурси в тази област е важна предпоставка за качествени услуги, които да съдействат за повишаване и качеството на живот на отделните индивиди, семейства и групи.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Общините Братя Даскалови, Гълъбово и Опан не са извели прогнозна потребност за необходимия им персонал за функциониране на социалните услуги след трансформирането на съществуващите социални услуги и декомпозирането им по дейности, съгласно чл.15 от Закон за социалните услуги, както и въз основа на определените минимални изисквания в стандартите за качество на социалните услуги, касаещи броя и квалификацията на необходимите служители.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Стара Загора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са ключов фактор за ефективно социално включване и участие в живота на обществото на всички групи лица, които имат необходимост от подкрепа. Във основа на направения анализ на състоянието на социалните услуги на територията на областта и очерталите се тенденции, могат да се направят следните изводи: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има голям брой социални услуги за резидентна грижа за пълнолетни лица, но броят им е недостатъчен за задоволяване на потребностите на жителите на областта;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Недостатъчен е броят на услугите за дневна и почасова грижа и подкрепа за деца и пълнолетни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Налице е потребност от социални услуги, насочени към подкрепа на деца и техните родители;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Налице е потребност от социални услуги, насочени към подкрепа на деца с увреждания, ранна интервенция на уврежданията и подкрепа на техните семейства;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 територията на областта съществуват интегрирани здравно-социални услуги за деца и пълнолетни лица, но капацитета им е недостатъчен за задоволяване на потребностите;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 територията на област Стара Загора, съществува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ДМСГД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Стара Загора. Във връзка с процеса на деинституционализация на деца, предстои закриване на специализираната институция. Необходимо е да се предвиди на територията на област Стара Загора създаването на нови </w:t>
      </w:r>
      <w:r>
        <w:rPr>
          <w:rFonts w:ascii="Times New Roman" w:hAnsi="Times New Roman" w:cs="Times New Roman" w:eastAsia="Times New Roman"/>
          <w:color w:val="auto"/>
          <w:spacing w:val="0"/>
          <w:position w:val="0"/>
          <w:sz w:val="24"/>
          <w:shd w:fill="auto" w:val="clear"/>
        </w:rPr>
        <w:t xml:space="preserve">здравно-социални услуги за резидентна грижа за деца с трайни увреждания с потребност от постоянни медицински грижи;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 територията на област Стара Загора не функционират социални услуги, за които е изчерпана необходимостта от предоставяне;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Установена потребност от намаление на капацитета на социалните услуги, само в една община - Раднево;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 територията на област Стара Загора се планира закриване на действащите социални услуги, като същите се трансформират в други подходящи социални услуги, които да удовлетворяват потребностите;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Осигуряването на равен достъп до услуги на всички нуждаещи се чрез планиране на социални услуги, съгласно реалните потребности и нужди и равномерно разпределение на социалните услуги на територията на област Стара Загора са съществена част от политиките на областната и общинските администрации.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6854"/>
        </w:numPr>
        <w:tabs>
          <w:tab w:val="left" w:pos="432" w:leader="none"/>
        </w:tabs>
        <w:spacing w:before="0" w:after="0" w:line="240"/>
        <w:ind w:right="0" w:left="432" w:hanging="432"/>
        <w:jc w:val="both"/>
        <w:rPr>
          <w:rFonts w:ascii="Times New Roman" w:hAnsi="Times New Roman" w:cs="Times New Roman" w:eastAsia="Times New Roman"/>
          <w:b/>
          <w:color w:val="003366"/>
          <w:spacing w:val="0"/>
          <w:position w:val="0"/>
          <w:sz w:val="36"/>
          <w:shd w:fill="auto" w:val="clear"/>
        </w:rPr>
      </w:pPr>
      <w:r>
        <w:rPr>
          <w:rFonts w:ascii="Times New Roman" w:hAnsi="Times New Roman" w:cs="Times New Roman" w:eastAsia="Times New Roman"/>
          <w:b/>
          <w:color w:val="003366"/>
          <w:spacing w:val="0"/>
          <w:position w:val="0"/>
          <w:sz w:val="36"/>
          <w:shd w:fill="auto" w:val="clear"/>
        </w:rPr>
        <w:t xml:space="preserve">ЮГОЗАПАДЕН РАЙОН</w:t>
      </w:r>
    </w:p>
    <w:p>
      <w:pPr>
        <w:keepNext w:val="true"/>
        <w:numPr>
          <w:ilvl w:val="0"/>
          <w:numId w:val="6854"/>
        </w:numPr>
        <w:tabs>
          <w:tab w:val="left" w:pos="718" w:leader="none"/>
        </w:tabs>
        <w:spacing w:before="0" w:after="0" w:line="240"/>
        <w:ind w:right="0" w:left="718" w:hanging="576"/>
        <w:jc w:val="both"/>
        <w:rPr>
          <w:rFonts w:ascii="Times New Roman" w:hAnsi="Times New Roman" w:cs="Times New Roman" w:eastAsia="Times New Roman"/>
          <w:b/>
          <w:color w:val="003366"/>
          <w:spacing w:val="0"/>
          <w:position w:val="0"/>
          <w:sz w:val="28"/>
          <w:shd w:fill="auto" w:val="clear"/>
        </w:rPr>
      </w:pPr>
      <w:r>
        <w:rPr>
          <w:rFonts w:ascii="Times New Roman" w:hAnsi="Times New Roman" w:cs="Times New Roman" w:eastAsia="Times New Roman"/>
          <w:b/>
          <w:color w:val="003366"/>
          <w:spacing w:val="0"/>
          <w:position w:val="0"/>
          <w:sz w:val="28"/>
          <w:shd w:fill="auto" w:val="clear"/>
        </w:rPr>
        <w:t xml:space="preserve">ОБЛАСТ СОФИЯ-ГРАД</w:t>
      </w:r>
    </w:p>
    <w:p>
      <w:pPr>
        <w:keepNext w:val="true"/>
        <w:numPr>
          <w:ilvl w:val="0"/>
          <w:numId w:val="6854"/>
        </w:numPr>
        <w:tabs>
          <w:tab w:val="left" w:pos="862" w:leader="none"/>
        </w:tabs>
        <w:spacing w:before="0" w:after="0" w:line="240"/>
        <w:ind w:right="0" w:left="1430" w:hanging="1004"/>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СТОЛИЧНА ОБЩИНА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Столична община информацията за населението по настоящ адрес е получена от НСИ; Столична община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Социални услуги за деца и възрастни“, РДСП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София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град,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Регионална служба по заетостта - София“, НАПОО, НЦОЗА и др.</w:t>
      </w:r>
    </w:p>
    <w:p>
      <w:pPr>
        <w:spacing w:before="0" w:after="0" w:line="240"/>
        <w:ind w:right="0" w:left="0" w:firstLine="0"/>
        <w:jc w:val="both"/>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Общият брой на населението на Столична община, към 31.12.2021 г. е 1 307 439</w:t>
      </w:r>
      <w:r>
        <w:rPr>
          <w:rFonts w:ascii="Times New Roman" w:hAnsi="Times New Roman" w:cs="Times New Roman" w:eastAsia="Times New Roman"/>
          <w:i/>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жители, от тях 217 727 деца до 18-годишна възраст. Общия брой на лицата с трайни увреждания е 112 519, от тях деца 4938.</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Столична община са разкрити 93 социални услуги, които се предоставят в различните райони на общината: район Витоша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район Връбница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район Възраждане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11; </w:t>
      </w:r>
      <w:r>
        <w:rPr>
          <w:rFonts w:ascii="Times New Roman" w:hAnsi="Times New Roman" w:cs="Times New Roman" w:eastAsia="Times New Roman"/>
          <w:color w:val="auto"/>
          <w:spacing w:val="0"/>
          <w:position w:val="0"/>
          <w:sz w:val="24"/>
          <w:shd w:fill="auto" w:val="clear"/>
        </w:rPr>
        <w:t xml:space="preserve">район Изгрев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район Илинден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5; </w:t>
      </w:r>
      <w:r>
        <w:rPr>
          <w:rFonts w:ascii="Times New Roman" w:hAnsi="Times New Roman" w:cs="Times New Roman" w:eastAsia="Times New Roman"/>
          <w:color w:val="auto"/>
          <w:spacing w:val="0"/>
          <w:position w:val="0"/>
          <w:sz w:val="24"/>
          <w:shd w:fill="auto" w:val="clear"/>
        </w:rPr>
        <w:t xml:space="preserve">Район Искър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 </w:t>
      </w:r>
      <w:r>
        <w:rPr>
          <w:rFonts w:ascii="Times New Roman" w:hAnsi="Times New Roman" w:cs="Times New Roman" w:eastAsia="Times New Roman"/>
          <w:color w:val="auto"/>
          <w:spacing w:val="0"/>
          <w:position w:val="0"/>
          <w:sz w:val="24"/>
          <w:shd w:fill="auto" w:val="clear"/>
        </w:rPr>
        <w:t xml:space="preserve">район Красна поляна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5; </w:t>
      </w:r>
      <w:r>
        <w:rPr>
          <w:rFonts w:ascii="Times New Roman" w:hAnsi="Times New Roman" w:cs="Times New Roman" w:eastAsia="Times New Roman"/>
          <w:color w:val="auto"/>
          <w:spacing w:val="0"/>
          <w:position w:val="0"/>
          <w:sz w:val="24"/>
          <w:shd w:fill="auto" w:val="clear"/>
        </w:rPr>
        <w:t xml:space="preserve">район Красно село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4; </w:t>
      </w:r>
      <w:r>
        <w:rPr>
          <w:rFonts w:ascii="Times New Roman" w:hAnsi="Times New Roman" w:cs="Times New Roman" w:eastAsia="Times New Roman"/>
          <w:color w:val="auto"/>
          <w:spacing w:val="0"/>
          <w:position w:val="0"/>
          <w:sz w:val="24"/>
          <w:shd w:fill="auto" w:val="clear"/>
        </w:rPr>
        <w:t xml:space="preserve">район Лозенец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3; </w:t>
      </w:r>
      <w:r>
        <w:rPr>
          <w:rFonts w:ascii="Times New Roman" w:hAnsi="Times New Roman" w:cs="Times New Roman" w:eastAsia="Times New Roman"/>
          <w:color w:val="auto"/>
          <w:spacing w:val="0"/>
          <w:position w:val="0"/>
          <w:sz w:val="24"/>
          <w:shd w:fill="auto" w:val="clear"/>
        </w:rPr>
        <w:t xml:space="preserve">район Люлин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6; </w:t>
      </w:r>
      <w:r>
        <w:rPr>
          <w:rFonts w:ascii="Times New Roman" w:hAnsi="Times New Roman" w:cs="Times New Roman" w:eastAsia="Times New Roman"/>
          <w:color w:val="auto"/>
          <w:spacing w:val="0"/>
          <w:position w:val="0"/>
          <w:sz w:val="24"/>
          <w:shd w:fill="auto" w:val="clear"/>
        </w:rPr>
        <w:t xml:space="preserve">район Младост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 </w:t>
      </w:r>
      <w:r>
        <w:rPr>
          <w:rFonts w:ascii="Times New Roman" w:hAnsi="Times New Roman" w:cs="Times New Roman" w:eastAsia="Times New Roman"/>
          <w:color w:val="auto"/>
          <w:spacing w:val="0"/>
          <w:position w:val="0"/>
          <w:sz w:val="24"/>
          <w:shd w:fill="auto" w:val="clear"/>
        </w:rPr>
        <w:t xml:space="preserve">район Надежда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7; </w:t>
      </w:r>
      <w:r>
        <w:rPr>
          <w:rFonts w:ascii="Times New Roman" w:hAnsi="Times New Roman" w:cs="Times New Roman" w:eastAsia="Times New Roman"/>
          <w:color w:val="auto"/>
          <w:spacing w:val="0"/>
          <w:position w:val="0"/>
          <w:sz w:val="24"/>
          <w:shd w:fill="auto" w:val="clear"/>
        </w:rPr>
        <w:t xml:space="preserve">район Нови Искър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район Оборище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7; </w:t>
      </w:r>
      <w:r>
        <w:rPr>
          <w:rFonts w:ascii="Times New Roman" w:hAnsi="Times New Roman" w:cs="Times New Roman" w:eastAsia="Times New Roman"/>
          <w:color w:val="auto"/>
          <w:spacing w:val="0"/>
          <w:position w:val="0"/>
          <w:sz w:val="24"/>
          <w:shd w:fill="auto" w:val="clear"/>
        </w:rPr>
        <w:t xml:space="preserve">район Овча купел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9; </w:t>
      </w:r>
      <w:r>
        <w:rPr>
          <w:rFonts w:ascii="Times New Roman" w:hAnsi="Times New Roman" w:cs="Times New Roman" w:eastAsia="Times New Roman"/>
          <w:color w:val="auto"/>
          <w:spacing w:val="0"/>
          <w:position w:val="0"/>
          <w:sz w:val="24"/>
          <w:shd w:fill="auto" w:val="clear"/>
        </w:rPr>
        <w:t xml:space="preserve">район Панчарево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3; </w:t>
      </w:r>
      <w:r>
        <w:rPr>
          <w:rFonts w:ascii="Times New Roman" w:hAnsi="Times New Roman" w:cs="Times New Roman" w:eastAsia="Times New Roman"/>
          <w:color w:val="auto"/>
          <w:spacing w:val="0"/>
          <w:position w:val="0"/>
          <w:sz w:val="24"/>
          <w:shd w:fill="auto" w:val="clear"/>
        </w:rPr>
        <w:t xml:space="preserve">район Подуяне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6; </w:t>
      </w:r>
      <w:r>
        <w:rPr>
          <w:rFonts w:ascii="Times New Roman" w:hAnsi="Times New Roman" w:cs="Times New Roman" w:eastAsia="Times New Roman"/>
          <w:color w:val="auto"/>
          <w:spacing w:val="0"/>
          <w:position w:val="0"/>
          <w:sz w:val="24"/>
          <w:shd w:fill="auto" w:val="clear"/>
        </w:rPr>
        <w:t xml:space="preserve">район Сердика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7; </w:t>
      </w:r>
      <w:r>
        <w:rPr>
          <w:rFonts w:ascii="Times New Roman" w:hAnsi="Times New Roman" w:cs="Times New Roman" w:eastAsia="Times New Roman"/>
          <w:color w:val="auto"/>
          <w:spacing w:val="0"/>
          <w:position w:val="0"/>
          <w:sz w:val="24"/>
          <w:shd w:fill="auto" w:val="clear"/>
        </w:rPr>
        <w:t xml:space="preserve">район Средец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район Слатина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6; </w:t>
      </w:r>
      <w:r>
        <w:rPr>
          <w:rFonts w:ascii="Times New Roman" w:hAnsi="Times New Roman" w:cs="Times New Roman" w:eastAsia="Times New Roman"/>
          <w:color w:val="auto"/>
          <w:spacing w:val="0"/>
          <w:position w:val="0"/>
          <w:sz w:val="24"/>
          <w:shd w:fill="auto" w:val="clear"/>
        </w:rPr>
        <w:t xml:space="preserve">район Студентски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 </w:t>
      </w:r>
      <w:r>
        <w:rPr>
          <w:rFonts w:ascii="Times New Roman" w:hAnsi="Times New Roman" w:cs="Times New Roman" w:eastAsia="Times New Roman"/>
          <w:color w:val="auto"/>
          <w:spacing w:val="0"/>
          <w:position w:val="0"/>
          <w:sz w:val="24"/>
          <w:shd w:fill="auto" w:val="clear"/>
        </w:rPr>
        <w:t xml:space="preserve">район Триадица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3.</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капацитет на социалните услуги е за 6678 потребители, в т.ч. 3040 асистентска подкрепа.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tbl>
      <w:tblPr/>
      <w:tblGrid>
        <w:gridCol w:w="1588"/>
        <w:gridCol w:w="1271"/>
        <w:gridCol w:w="1261"/>
        <w:gridCol w:w="1261"/>
        <w:gridCol w:w="1243"/>
        <w:gridCol w:w="1345"/>
        <w:gridCol w:w="1091"/>
      </w:tblGrid>
      <w:tr>
        <w:trPr>
          <w:trHeight w:val="567" w:hRule="auto"/>
          <w:jc w:val="center"/>
        </w:trPr>
        <w:tc>
          <w:tcPr>
            <w:tcW w:w="158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27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126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126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 -СГ</w:t>
            </w:r>
          </w:p>
        </w:tc>
        <w:tc>
          <w:tcPr>
            <w:tcW w:w="124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ЦСРИД</w:t>
            </w:r>
          </w:p>
        </w:tc>
        <w:tc>
          <w:tcPr>
            <w:tcW w:w="134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ЦСРИПЛ</w:t>
            </w:r>
          </w:p>
        </w:tc>
        <w:tc>
          <w:tcPr>
            <w:tcW w:w="109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r>
      <w:tr>
        <w:trPr>
          <w:trHeight w:val="567" w:hRule="auto"/>
          <w:jc w:val="center"/>
        </w:trPr>
        <w:tc>
          <w:tcPr>
            <w:tcW w:w="15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27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c>
          <w:tcPr>
            <w:tcW w:w="126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c>
          <w:tcPr>
            <w:tcW w:w="12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4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134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10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r>
        <w:trPr>
          <w:trHeight w:val="567" w:hRule="auto"/>
          <w:jc w:val="center"/>
        </w:trPr>
        <w:tc>
          <w:tcPr>
            <w:tcW w:w="15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27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280</w:t>
            </w:r>
          </w:p>
        </w:tc>
        <w:tc>
          <w:tcPr>
            <w:tcW w:w="126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220</w:t>
            </w:r>
          </w:p>
        </w:tc>
        <w:tc>
          <w:tcPr>
            <w:tcW w:w="12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24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350</w:t>
            </w:r>
          </w:p>
        </w:tc>
        <w:tc>
          <w:tcPr>
            <w:tcW w:w="134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390</w:t>
            </w:r>
          </w:p>
        </w:tc>
        <w:tc>
          <w:tcPr>
            <w:tcW w:w="10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610</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546"/>
        <w:gridCol w:w="870"/>
        <w:gridCol w:w="1386"/>
        <w:gridCol w:w="1451"/>
        <w:gridCol w:w="2182"/>
        <w:gridCol w:w="1625"/>
      </w:tblGrid>
      <w:tr>
        <w:trPr>
          <w:trHeight w:val="269" w:hRule="auto"/>
          <w:jc w:val="left"/>
        </w:trPr>
        <w:tc>
          <w:tcPr>
            <w:tcW w:w="1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hanging="108"/>
              <w:jc w:val="both"/>
              <w:rPr>
                <w:rFonts w:ascii="Calibri" w:hAnsi="Calibri" w:cs="Calibri" w:eastAsia="Calibri"/>
                <w:color w:val="auto"/>
                <w:spacing w:val="0"/>
                <w:position w:val="0"/>
                <w:sz w:val="22"/>
                <w:shd w:fill="auto" w:val="clear"/>
              </w:rPr>
            </w:pPr>
          </w:p>
        </w:tc>
        <w:tc>
          <w:tcPr>
            <w:tcW w:w="87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ЦРДУ</w:t>
            </w:r>
          </w:p>
        </w:tc>
        <w:tc>
          <w:tcPr>
            <w:tcW w:w="138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145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218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ЦНСТДМУППМГ</w:t>
            </w:r>
          </w:p>
        </w:tc>
        <w:tc>
          <w:tcPr>
            <w:tcW w:w="162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ЦНСТПЛФУ</w:t>
            </w:r>
          </w:p>
        </w:tc>
      </w:tr>
      <w:tr>
        <w:trPr>
          <w:trHeight w:val="243" w:hRule="auto"/>
          <w:jc w:val="left"/>
        </w:trPr>
        <w:tc>
          <w:tcPr>
            <w:tcW w:w="154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8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c>
          <w:tcPr>
            <w:tcW w:w="138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c>
          <w:tcPr>
            <w:tcW w:w="14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c>
          <w:tcPr>
            <w:tcW w:w="218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6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007" w:hRule="auto"/>
          <w:jc w:val="left"/>
        </w:trPr>
        <w:tc>
          <w:tcPr>
            <w:tcW w:w="154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потребитеи</w:t>
            </w:r>
          </w:p>
        </w:tc>
        <w:tc>
          <w:tcPr>
            <w:tcW w:w="8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118</w:t>
            </w:r>
          </w:p>
        </w:tc>
        <w:tc>
          <w:tcPr>
            <w:tcW w:w="138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118</w:t>
            </w:r>
          </w:p>
        </w:tc>
        <w:tc>
          <w:tcPr>
            <w:tcW w:w="14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140</w:t>
            </w:r>
          </w:p>
        </w:tc>
        <w:tc>
          <w:tcPr>
            <w:tcW w:w="218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6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657"/>
        <w:gridCol w:w="1481"/>
        <w:gridCol w:w="1481"/>
        <w:gridCol w:w="1481"/>
        <w:gridCol w:w="1480"/>
        <w:gridCol w:w="1480"/>
      </w:tblGrid>
      <w:tr>
        <w:trPr>
          <w:trHeight w:val="269" w:hRule="auto"/>
          <w:jc w:val="left"/>
        </w:trPr>
        <w:tc>
          <w:tcPr>
            <w:tcW w:w="165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hanging="108"/>
              <w:jc w:val="both"/>
              <w:rPr>
                <w:rFonts w:ascii="Calibri" w:hAnsi="Calibri" w:cs="Calibri" w:eastAsia="Calibri"/>
                <w:color w:val="auto"/>
                <w:spacing w:val="0"/>
                <w:position w:val="0"/>
                <w:sz w:val="22"/>
                <w:shd w:fill="auto" w:val="clear"/>
              </w:rPr>
            </w:pPr>
          </w:p>
        </w:tc>
        <w:tc>
          <w:tcPr>
            <w:tcW w:w="148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148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ЗЖЛПР</w:t>
            </w:r>
          </w:p>
        </w:tc>
        <w:tc>
          <w:tcPr>
            <w:tcW w:w="148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ПЖД</w:t>
            </w:r>
          </w:p>
        </w:tc>
        <w:tc>
          <w:tcPr>
            <w:tcW w:w="148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ПЖЛ</w:t>
            </w:r>
          </w:p>
        </w:tc>
        <w:tc>
          <w:tcPr>
            <w:tcW w:w="148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НЖ</w:t>
            </w:r>
          </w:p>
        </w:tc>
      </w:tr>
      <w:tr>
        <w:trPr>
          <w:trHeight w:val="243" w:hRule="auto"/>
          <w:jc w:val="left"/>
        </w:trPr>
        <w:tc>
          <w:tcPr>
            <w:tcW w:w="16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48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148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148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4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523" w:hRule="auto"/>
          <w:jc w:val="left"/>
        </w:trPr>
        <w:tc>
          <w:tcPr>
            <w:tcW w:w="16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48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c>
          <w:tcPr>
            <w:tcW w:w="148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c>
          <w:tcPr>
            <w:tcW w:w="148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c>
          <w:tcPr>
            <w:tcW w:w="14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4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659"/>
        <w:gridCol w:w="1481"/>
        <w:gridCol w:w="1480"/>
        <w:gridCol w:w="1480"/>
        <w:gridCol w:w="1480"/>
        <w:gridCol w:w="1480"/>
      </w:tblGrid>
      <w:tr>
        <w:trPr>
          <w:trHeight w:val="269" w:hRule="auto"/>
          <w:jc w:val="left"/>
        </w:trPr>
        <w:tc>
          <w:tcPr>
            <w:tcW w:w="165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hanging="108"/>
              <w:jc w:val="both"/>
              <w:rPr>
                <w:rFonts w:ascii="Calibri" w:hAnsi="Calibri" w:cs="Calibri" w:eastAsia="Calibri"/>
                <w:color w:val="auto"/>
                <w:spacing w:val="0"/>
                <w:position w:val="0"/>
                <w:sz w:val="22"/>
                <w:shd w:fill="auto" w:val="clear"/>
              </w:rPr>
            </w:pPr>
          </w:p>
        </w:tc>
        <w:tc>
          <w:tcPr>
            <w:tcW w:w="148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КЦД</w:t>
            </w:r>
          </w:p>
        </w:tc>
        <w:tc>
          <w:tcPr>
            <w:tcW w:w="148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ЗМБ</w:t>
            </w:r>
          </w:p>
        </w:tc>
        <w:tc>
          <w:tcPr>
            <w:tcW w:w="148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ЦВН</w:t>
            </w:r>
          </w:p>
        </w:tc>
        <w:tc>
          <w:tcPr>
            <w:tcW w:w="148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148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243" w:hRule="auto"/>
          <w:jc w:val="left"/>
        </w:trPr>
        <w:tc>
          <w:tcPr>
            <w:tcW w:w="165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4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14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14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14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515" w:hRule="auto"/>
          <w:jc w:val="left"/>
        </w:trPr>
        <w:tc>
          <w:tcPr>
            <w:tcW w:w="165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4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4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14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510</w:t>
            </w:r>
          </w:p>
        </w:tc>
        <w:tc>
          <w:tcPr>
            <w:tcW w:w="14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760</w:t>
            </w:r>
          </w:p>
        </w:tc>
        <w:tc>
          <w:tcPr>
            <w:tcW w:w="14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3040</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Броят на социалните услуги за пълнолетни лица е 33, с 4998 потребители. Социалните услуги за деца са 60 със 1680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графиките е видно, че на територията на Столична община преобладават консултативните услуги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ДЦ, ЦСРИ, ЦОП, ЦРДУ)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46 </w:t>
      </w:r>
      <w:r>
        <w:rPr>
          <w:rFonts w:ascii="Times New Roman" w:hAnsi="Times New Roman" w:cs="Times New Roman" w:eastAsia="Times New Roman"/>
          <w:color w:val="auto"/>
          <w:spacing w:val="0"/>
          <w:position w:val="0"/>
          <w:sz w:val="24"/>
          <w:shd w:fill="auto" w:val="clear"/>
        </w:rPr>
        <w:t xml:space="preserve">услуги за 1976 потребители, услугите за резидентна грижа (ЦНСТ, КЦ, ПЖ, ЗЖ, ЦВН, ЗМБ) са 42 на брой за 902 потребители, услугите, които се предоставят в специализирана институция (ДСХ) са 4 на брой за 760 потребители и услугата Асистентска подкрепа, която се предоставя в домашна среда, е една на брой за 3040 потребители.</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Столична община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Столична община е 436.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 </w:t>
      </w:r>
    </w:p>
    <w:tbl>
      <w:tblPr/>
      <w:tblGrid>
        <w:gridCol w:w="4037"/>
        <w:gridCol w:w="5023"/>
      </w:tblGrid>
      <w:tr>
        <w:trPr>
          <w:trHeight w:val="1" w:hRule="atLeast"/>
          <w:jc w:val="left"/>
        </w:trPr>
        <w:tc>
          <w:tcPr>
            <w:tcW w:w="403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hanging="108"/>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02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ДЦДМУ</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57</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ДЦПЛУ</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38</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116</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ЗЖЛПР</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60</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ЗЖЛУИ</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ЗМБ</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ЦВН</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47</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ЦНСТДМУ</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ЦНСТПЛФУ</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ЦРДУ</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ЦСРИДМ</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42</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ЦСРИПЛ</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52</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Столична община,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Столична община, от други общини е 230.</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6"/>
        <w:gridCol w:w="4514"/>
      </w:tblGrid>
      <w:tr>
        <w:trPr>
          <w:trHeight w:val="1" w:hRule="atLeast"/>
          <w:jc w:val="center"/>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center"/>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51</w:t>
            </w:r>
          </w:p>
        </w:tc>
      </w:tr>
      <w:tr>
        <w:trPr>
          <w:trHeight w:val="1" w:hRule="atLeast"/>
          <w:jc w:val="center"/>
        </w:trPr>
        <w:tc>
          <w:tcPr>
            <w:tcW w:w="4546" w:type="dxa"/>
            <w:tcBorders>
              <w:top w:val="single" w:color="000000" w:sz="4"/>
              <w:left w:val="single" w:color="000000" w:sz="8"/>
              <w:bottom w:val="single" w:color="000000" w:sz="4"/>
              <w:right w:val="single" w:color="000000" w:sz="8"/>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4514" w:type="dxa"/>
            <w:tcBorders>
              <w:top w:val="single" w:color="000000" w:sz="4"/>
              <w:left w:val="single" w:color="000000" w:sz="0"/>
              <w:bottom w:val="single" w:color="000000" w:sz="4"/>
              <w:right w:val="single" w:color="000000" w:sz="8"/>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r>
      <w:tr>
        <w:trPr>
          <w:trHeight w:val="1" w:hRule="atLeast"/>
          <w:jc w:val="center"/>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ЦСРИПЛ</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33</w:t>
            </w:r>
          </w:p>
        </w:tc>
      </w:tr>
      <w:tr>
        <w:trPr>
          <w:trHeight w:val="1" w:hRule="atLeast"/>
          <w:jc w:val="center"/>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ЦСРИДМ</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r>
      <w:tr>
        <w:trPr>
          <w:trHeight w:val="1" w:hRule="atLeast"/>
          <w:jc w:val="center"/>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ЦНСТДМУ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r>
      <w:tr>
        <w:trPr>
          <w:trHeight w:val="1" w:hRule="atLeast"/>
          <w:jc w:val="center"/>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ЦВН</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r>
        <w:trPr>
          <w:trHeight w:val="1" w:hRule="atLeast"/>
          <w:jc w:val="center"/>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ДЦДМУ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57</w:t>
            </w:r>
          </w:p>
        </w:tc>
      </w:tr>
      <w:tr>
        <w:trPr>
          <w:trHeight w:val="1" w:hRule="atLeast"/>
          <w:jc w:val="center"/>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ЦНСТДБУ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1" w:hRule="atLeast"/>
          <w:jc w:val="center"/>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ЗМБ</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center"/>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ДЦПЛУ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center"/>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ЦНСТПЛФУ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center"/>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КЦД</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center"/>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ЗЖЛПР</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center"/>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ЦНСТДМУППМГ</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center"/>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ЦРДУ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center"/>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ПЖЛ</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center"/>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НЖ</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следващата графика е представено сравнение между функциониращите към момента социални услуги, финансирани от държавния бюджет, съотнесени към социалните услуги по чл. 15 от ЗСУ, максималния брой потребители, съгласно критериите по Наредбата за планиране на социалните услуги и поетите ангажименти от общините в областта.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Столична община за последните 5 години</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НСИ, към 31.12.2021 г., населението на Столична община е 1 307 439 човека или 19,1% от населението на страната. През 2017 г. този дял е равен на 18,8%. Въпреки нарастването на дела на населението в общината от общото население на страната през 2021 г., то за целия период между 2017-2021 г., населението в Столична община намалява като брой с 1,4% или с близо 18 хил. души. Тези плавни темпове на намаляване на населението в Столична община са право пропорционални на намаляването на общото население за страната, но показват постоянстващата тенденция на запазване на висока концентрация на населението в Столицата (респективно Столична община).</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w:t>
      </w:r>
      <w:r>
        <w:rPr>
          <w:rFonts w:ascii="Times New Roman" w:hAnsi="Times New Roman" w:cs="Times New Roman" w:eastAsia="Times New Roman"/>
          <w:color w:val="auto"/>
          <w:spacing w:val="0"/>
          <w:position w:val="0"/>
          <w:sz w:val="24"/>
          <w:shd w:fill="auto" w:val="clear"/>
        </w:rPr>
        <w:t xml:space="preserve">ъм септември 2021 г. най-големите административни райони са Люлин (106 112 д.), Младост (104 047 д.), Красно село (79 883 д.), Витоша (76 778 д.) и Студентски (74 163 д.). Тези  райони са обитавани от 440 983 души или 34,6% от населението на общината. Най-голямо нарастване за разглеждания период (2017 г.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2021 </w:t>
      </w:r>
      <w:r>
        <w:rPr>
          <w:rFonts w:ascii="Times New Roman" w:hAnsi="Times New Roman" w:cs="Times New Roman" w:eastAsia="Times New Roman"/>
          <w:color w:val="auto"/>
          <w:spacing w:val="0"/>
          <w:position w:val="0"/>
          <w:sz w:val="24"/>
          <w:shd w:fill="auto" w:val="clear"/>
        </w:rPr>
        <w:t xml:space="preserve">г.) се наблюдава в район Витоша, като регистрираният ръст е равен на 10,5% спрямо населението през 2017 г.</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отношение на гъстотата на населението Столична община е втората по големина община в страната. С площ от 1 348,9 кв. км, тя представлява 1,2% от територията на България. В границите ѝ най-гъсто заселените административни райони за 2021 г. са Възраждане (11 598 души на кв. км),  Красно село (11 095 души на кв. км.) и Оборище (10 449 души на кв. км).</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През 2021 г. броят на живородените деца в Столична община е 13 135, което остава под средния брой за целия разглеждан период (13 195 бр.). Все пак, равнищата от 2021 г. изпреварват броя на живородените деца през 2018, 2019 и 2020 г.</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Нивото на общата смъртност в общината запазва високи стойности през целия разглеждан период като в следствие на COVID-19 стойностите през 2020 г. и 2021 г. нарастват значително в сравнение с периода 2017 - 2019 година.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Съществено влияние върху броя и структурата на населението в Столична община оказва и механичният прираст, който през 2021 година е положителен - плюс  7 802 души. За периода  2017-2021 г. единствено през 2020 г. в общината се наблюдава отрицателен механичен прираст от минус 15 765 души, което може да се обвърже със социално-икономическите последствия от разпространението на COVID-19 в страната и намаляване броя на лицата, които през 2020 се преместват да живеят/работят в общината. За годините 2017, 2018 и 2021 делът на заселилите се мъже в общината е по-голям спрямо този на жените.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Във всички социални услуги в Столична община е назначен необходимия брой персонал, който е квалифициран и преминал необходимите обучения и супервизии.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Анализа на Столична община по отношение на текущото състояние на персонала в социалните услуги става ясно, че преобладаващата част от професиите са феминизирани като над 80 % от служителите са жени, като близо една трета от служителите са в пенсионна или в предпенсионна възраст. През 2022 г. почти всички доставчици на социални услуги услуги са провеждали групови супервизии на служителите си. Провеждани са и индивидуални супервизии, като за извършването на такъв тип дейност са съобщили близо 62% от доставчиците. Повече от половината доставчици са провеждали специализирани обучения, практически и обучителни курсове. Подходите за повишаване на квалификацията на персонала, чрез менторство (37,5%) и наставничество (30%) се осъществяват значително по-рядко. Най-рядко са били провеждани програми за квалификация.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Една от основните посочвани трудности сред доставчиците на социални услуги е свързана с наемането на персонал. За над една трета от услугите това е проблем, който все още не е намерил решение.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6976"/>
        </w:numPr>
        <w:tabs>
          <w:tab w:val="left" w:pos="718" w:leader="none"/>
        </w:tabs>
        <w:spacing w:before="0" w:after="0" w:line="240"/>
        <w:ind w:right="0" w:left="718" w:hanging="576"/>
        <w:jc w:val="both"/>
        <w:rPr>
          <w:rFonts w:ascii="Times New Roman" w:hAnsi="Times New Roman" w:cs="Times New Roman" w:eastAsia="Times New Roman"/>
          <w:b/>
          <w:color w:val="003366"/>
          <w:spacing w:val="0"/>
          <w:position w:val="0"/>
          <w:sz w:val="28"/>
          <w:shd w:fill="auto" w:val="clear"/>
        </w:rPr>
      </w:pPr>
      <w:r>
        <w:rPr>
          <w:rFonts w:ascii="Times New Roman" w:hAnsi="Times New Roman" w:cs="Times New Roman" w:eastAsia="Times New Roman"/>
          <w:b/>
          <w:color w:val="003366"/>
          <w:spacing w:val="0"/>
          <w:position w:val="0"/>
          <w:sz w:val="28"/>
          <w:shd w:fill="auto" w:val="clear"/>
        </w:rPr>
        <w:t xml:space="preserve">Изводи за област София-град</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Област София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град покрива същата територия като Столична община. В селищната мрежа на общината са разположени 38 населени места, от които 4 града и 34 села. Общият брой на населението на общината е 1 307 439, като броят на лицата с трайни увреждания възлиза на 112 519.</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Социалната политика в България е насочена към превенция и преодоляване на социалното изключване на уязвимите групи в обществото.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Столична община работи в унисон с националната политика в сферата на предоставяне на социалните услуги, които се финансират от държавния бюджет, чрез разкриване и предоставяне на територията на общината на разнообразие от социални услуги за подкрепа на нуждаещите се лица за реализиране на правата им и подобряване качеството им на живот, като до същите е осигурена и добра транспортна обезпеченост.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Поради спецификите на Столична община и концентрирането на нейната територия на представители от различни целеви групи се наблюдава недостиг на социални услуги и потребност от увеличаване броя на местата на повечето съществуващи такива или създаване на нови. На база на представената информация от Столична община могат да се направят следните изводи: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Най-голяма е потребността от социалната услуга дневна грижа за лица с трайни увреждания (деца и пълнолетни лица), като анализа на данните сочи по-голяма нужда от реализиране на дневна грижа за пълнолетни лица с трайни увреждания;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за резидентна грижа за пълнолетни лица с психични разстройства и интелектуални затруднения са с най-високи показатели за необходимост предвид малкия брой на съществуващите такива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 е малка и потребността от социалните услуги за резидентна грижа за лица в надтрудоспособна възраст без увреждания, въпреки големия брой на съществуващите такива към момента, като същото става ясно и от информацията за броят на желаещите да ползват специализираната институция ДСХ, който е най-голям, в сравнение с другите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Столична община към момента не функционират интегрирани-здравно социални услуги за резидентна грижа за лица с трайни увреждания (деца, пълнолетни и възрастни хора). Общината планира създаването на този вид услуги за деца и лица, но въпреки сравнително високите цифри на потребност от създаване на такава услуга за възрастни хора, общината не предприема действия в тази посока;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Потребността от консултативни социални услуги е изключително висока и въпреки, че на територията на София-град най-голям брой са именно консултативните социални услуги (преобладават услугите за деца) е необходимо да се предвиди увеличаване на броя на местата на сегашните или създаване на нови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изведена е най-голяма необходимост от услугите за терапия и рехабилитация и информиране и консултиране;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за осигуряване на подслон за лица (деца и пълнолетни) са със сравнително ниски стойности на потребност, но от представените данни е видно, че съществуващия брой на услугите не покрива необходимостта от такива. Най-висока е нуждата от услуги за осигуряване на подслон за пълнолетни лица пострадали от домашно насилие и лица, жертви на трафик, на следващо място от услуги за осигуряване на подслон за лица в кризисна ситуация и на последно място, но със значителни стойности е потребността от услуги за осигуряване на подслон за деца, пострадали от домашно насилие и деца, жертви на трафик.</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Предвид максималния брой потребители на социалните услуги, изведен по критериите от НПСУ, както и при съобразяване с възможностите на Столична община по отношение на сградния фонд за обезпечаване на социалните услуги, се наблюдава превес в желанието на общината да се предприемат действия по-скоро за увеличаване броя на местата в съществуващите социални услуги, отколкото за създаване на нови такива.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6980"/>
        </w:numPr>
        <w:tabs>
          <w:tab w:val="left" w:pos="718" w:leader="none"/>
        </w:tabs>
        <w:spacing w:before="0" w:after="0" w:line="240"/>
        <w:ind w:right="0" w:left="718" w:hanging="576"/>
        <w:jc w:val="both"/>
        <w:rPr>
          <w:rFonts w:ascii="Times New Roman" w:hAnsi="Times New Roman" w:cs="Times New Roman" w:eastAsia="Times New Roman"/>
          <w:b/>
          <w:color w:val="003366"/>
          <w:spacing w:val="0"/>
          <w:position w:val="0"/>
          <w:sz w:val="28"/>
          <w:shd w:fill="auto" w:val="clear"/>
        </w:rPr>
      </w:pPr>
      <w:r>
        <w:rPr>
          <w:rFonts w:ascii="Times New Roman" w:hAnsi="Times New Roman" w:cs="Times New Roman" w:eastAsia="Times New Roman"/>
          <w:b/>
          <w:color w:val="003366"/>
          <w:spacing w:val="0"/>
          <w:position w:val="0"/>
          <w:sz w:val="28"/>
          <w:shd w:fill="auto" w:val="clear"/>
        </w:rPr>
        <w:t xml:space="preserve">ОБЛАСТ СОФИЯ </w:t>
      </w:r>
    </w:p>
    <w:p>
      <w:pPr>
        <w:keepNext w:val="true"/>
        <w:numPr>
          <w:ilvl w:val="0"/>
          <w:numId w:val="6980"/>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АНТОН</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Антон информацията за населението по настоящ адрес е получена от информационна система ГРАО, Отдел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Статистически изследвания“ с. Антон и от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Пирдоп.</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Антон, към 31.12.2021 г. е 1469 жители, от тях 253 деца до 18-годишна възраст. Общият брой на лицата с трайни увреждания е 138, от тях деца 3.</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Антон е разкрита 1 социална услуга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асистентска подкрепа, с капацитет 5 потребители. </w:t>
      </w:r>
    </w:p>
    <w:tbl>
      <w:tblPr/>
      <w:tblGrid>
        <w:gridCol w:w="6648"/>
        <w:gridCol w:w="2412"/>
      </w:tblGrid>
      <w:tr>
        <w:trPr>
          <w:trHeight w:val="1" w:hRule="atLeast"/>
          <w:jc w:val="left"/>
        </w:trPr>
        <w:tc>
          <w:tcPr>
            <w:tcW w:w="664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41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66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4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66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4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Антон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Антон в разкритата социална услуга няма лица вписани в регистъра на чакащи. Наличната услуга обхваща всички насочени деца, лица и семейства, видно от средногодишната им заетост.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Антон,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лица от други общини, които ползват социалната услуга в община Антон.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Антон за последните 5 години</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Тъй като общината е съставена само от едно населено място, а именно общинският център с. Антон, цялото население е концентрирано в селото. По данни от преброяване на населението и жилищният фонд на НСИ към 07.09.2021 г. населението на общината по постоянен и настоящ адрес наброява 1464 души. Забелязва се трайна тенденция за запазване броя на населението в общината. </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Графиката показва, че населението е с тенденция към застаряване, ниска раждаемост, висока смъртност и отрицателен естествен прираст. Устойчива е тенденцията към емиграция и обезлюдяване на общината. Висок е броят на хората с увреждания, както и на живеещите в общината, с невъзможност за самообслужване. Прогресивно намалява относителния дял на лицата в трудоспособна възраст.</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Социалната услуга в община Антон е обезпечена с кадри необходими за предоставянето на социалната услуга Асистентска подкрепа.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keepNext w:val="true"/>
        <w:numPr>
          <w:ilvl w:val="0"/>
          <w:numId w:val="7000"/>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БОЖУРИЩЕ</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Божурище получените данни от страна на НСИ,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Костинброд и отдел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Административно обслужване и гражданска регистрация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Община Божурище (АОГР" и от доставчици на социални услуги. По отношение на демографското развитие е ползван демографския анализ представен в проекта на План за интегрирано развитие на община Божурище (ПИРО) за периода 2021-2027 година.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Божурище, към 31.12.2021 г. е 9880 жители, от тях 1603 деца до 18-годишна възраст. Общият брой на лицата с трайни увреждания е 753, от тях деца 26.</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Божурище е разкрита 1 социална услуга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Наблюдавано жилище (НЖ) за младежи от 18 до 25- годишна възраст, без увреждания, в с. Гурмазово. Общият капацитет на социалните услуги е за 6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6496"/>
        <w:gridCol w:w="2564"/>
      </w:tblGrid>
      <w:tr>
        <w:trPr>
          <w:trHeight w:val="1" w:hRule="atLeast"/>
          <w:jc w:val="left"/>
        </w:trPr>
        <w:tc>
          <w:tcPr>
            <w:tcW w:w="649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56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НЖ</w:t>
            </w:r>
          </w:p>
        </w:tc>
      </w:tr>
      <w:tr>
        <w:trPr>
          <w:trHeight w:val="1" w:hRule="atLeast"/>
          <w:jc w:val="left"/>
        </w:trPr>
        <w:tc>
          <w:tcPr>
            <w:tcW w:w="64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56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64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56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Божурище.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информация на ДСП-Костинброд няма желаещи да ползват социални услуги на територията на община Божурище.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Божурище,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Божурище, от други общини е 5.</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НЖ</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Божурище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Графиката показва, намаление на общия брой на населението на общината. Високите стойности на смъртността и относително невисоките стойности на раждаемост водят до отрицателен естествен прираст за територията на община Божурище. Показателите за механичния прираст на населението показват сравнително увеличаване на външните миграции, предизвикани от лошата икономическа обстановка и високия процент на безработица. Близостта на община Божурище до гр. София, бързата и удобна транспортна връзка води до увеличаване на ежедневните трудови пътувания и създава сравнително благоприятни условия за живот в общината.</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Броят на персонала по щатно разписание е 2 бр. - директор/психолог - 1 бр. и шофьор/домакин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бр. и двете бройки са незаети.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7020"/>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БОТЕВГРАД</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Ботевград информацията за населението по настоящ адрес е получена от НСИ и информационна система ГРАО,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Ботевград, ДБТ, План за интегрирано развитие на община Ботевград за периода 2021-2027 г.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Ботевград, към 31.12.2021 г. е 33793 жители, от тях 6086 деца до 18-годишна възраст. Общият брой на лицата с трайни увреждания е 9970, от тях деца 6086.</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Ботевград са разкрити 6 социални услуги, които се предоставят в гр. Ботевград. Общият капацитет на социалните услуги е за 239 потребители, в т.ч. 101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Асистентска подкрепа се предоставя на потребители в почти всички населени места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237"/>
        <w:gridCol w:w="2102"/>
        <w:gridCol w:w="1283"/>
        <w:gridCol w:w="1600"/>
        <w:gridCol w:w="1026"/>
        <w:gridCol w:w="812"/>
      </w:tblGrid>
      <w:tr>
        <w:trPr>
          <w:trHeight w:val="1" w:hRule="atLeast"/>
          <w:jc w:val="left"/>
        </w:trPr>
        <w:tc>
          <w:tcPr>
            <w:tcW w:w="223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10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128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ЦСРИЛ</w:t>
            </w:r>
          </w:p>
        </w:tc>
        <w:tc>
          <w:tcPr>
            <w:tcW w:w="16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102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81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22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10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2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6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0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2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10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28</w:t>
            </w:r>
          </w:p>
        </w:tc>
        <w:tc>
          <w:tcPr>
            <w:tcW w:w="12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6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0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60</w:t>
            </w:r>
          </w:p>
        </w:tc>
        <w:tc>
          <w:tcPr>
            <w:tcW w:w="8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101</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Ботевград</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Ботевград е 8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Ботевград,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Ботевград, общия брой на потребители от други общини ползващи социални услуги е 29 бр., както следва: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ЦСРИЛ</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Ботевград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Демографското развитие в община Ботевград се вписва в тенденциите на национално ниво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общо намаляване на населението, отрицателен естествен и механичен прираст. В община Ботевград по-голям е делът на мъжете, спрямо жените. В резултат на установилите се през последните години неблагоприятни тенденции в развитието на демографските процеси, броят на населението продължава да намалява, </w:t>
      </w:r>
      <w:r>
        <w:rPr>
          <w:rFonts w:ascii="Times New Roman" w:hAnsi="Times New Roman" w:cs="Times New Roman" w:eastAsia="Times New Roman"/>
          <w:color w:val="000000"/>
          <w:spacing w:val="0"/>
          <w:position w:val="0"/>
          <w:sz w:val="24"/>
          <w:shd w:fill="auto" w:val="clear"/>
        </w:rPr>
        <w:t xml:space="preserve">въпреки, че раждаемостта за последните пет години се покачва, но смъртността също се покачва, като се има предвид пандемията COVID-19 и застаряващото население. </w:t>
      </w:r>
      <w:r>
        <w:rPr>
          <w:rFonts w:ascii="Times New Roman" w:hAnsi="Times New Roman" w:cs="Times New Roman" w:eastAsia="Times New Roman"/>
          <w:color w:val="auto"/>
          <w:spacing w:val="0"/>
          <w:position w:val="0"/>
          <w:sz w:val="24"/>
          <w:shd w:fill="auto" w:val="clear"/>
        </w:rPr>
        <w:t xml:space="preserve">Намалението на населението в община Ботевград е по-силно изразено в 12 села, </w:t>
      </w:r>
      <w:r>
        <w:rPr>
          <w:rFonts w:ascii="Times New Roman" w:hAnsi="Times New Roman" w:cs="Times New Roman" w:eastAsia="Times New Roman"/>
          <w:color w:val="000000"/>
          <w:spacing w:val="0"/>
          <w:position w:val="0"/>
          <w:sz w:val="24"/>
          <w:shd w:fill="auto" w:val="clear"/>
        </w:rPr>
        <w:t xml:space="preserve">попадащи в обхвата на територията на общината, </w:t>
      </w:r>
      <w:r>
        <w:rPr>
          <w:rFonts w:ascii="Times New Roman" w:hAnsi="Times New Roman" w:cs="Times New Roman" w:eastAsia="Times New Roman"/>
          <w:color w:val="auto"/>
          <w:spacing w:val="0"/>
          <w:position w:val="0"/>
          <w:sz w:val="24"/>
          <w:shd w:fill="auto" w:val="clear"/>
        </w:rPr>
        <w:t xml:space="preserve">които концентрират значим демографски ресурс</w:t>
      </w:r>
      <w:r>
        <w:rPr>
          <w:rFonts w:ascii="Times New Roman" w:hAnsi="Times New Roman" w:cs="Times New Roman" w:eastAsia="Times New Roman"/>
          <w:color w:val="000000"/>
          <w:spacing w:val="0"/>
          <w:position w:val="0"/>
          <w:sz w:val="24"/>
          <w:shd w:fill="auto" w:val="clear"/>
        </w:rPr>
        <w:t xml:space="preserve">, липсата на предприятия и възможности за пълноценна трудова заетост и кариерно развитие на младите хора на населението от селата.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Свободни са общо 10 места - 2 социални работници, и по 1 за психолог, медицинска сестра, трудотерапет, психолог, социален педагог и 3 детегледачи.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АЗ, регистрираните безработни лица с образование в областта на здравеопазване, професионално направление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медицина са две медицински сестри; с предишен опит в социалните услуги са 19 лица, от които: учител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хуманитарни и обществени дисциплини, управител на дом за стари хора, социален работник, координатор по безопасност и здраве, специалист социални дейности, сътрудник социални дейности, социален асистент, детегледач, 2 домашни санитари и 9 лични асистенти.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7050"/>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ГОДЕЧ</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за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Годеч са ползвани данни от НСИ, информация за населението по настоящ адрес е получена от информационна система ГРАО, Д СП както и от социалните услуги. По отношение на демографското развитие е ползван демографския анализ представен в най-актуалния стратегически документ на община Годеч, а именно План за интегрирано развитие на община Годеч (ПИРО) за периода 2021-2027 година.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Годеч към 31.12.2021 г. е 5031 жители, от тях 482 деца до 18-годишна възраст. Общият брой на лицата с трайни увреждания е 559, от тях деца 6.</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Годеч е разкрита 1 социална услуга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Асистентска подкрепа, която се предоставя в гр. Годеч, с капацитет за 26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6665"/>
        <w:gridCol w:w="2395"/>
      </w:tblGrid>
      <w:tr>
        <w:trPr>
          <w:trHeight w:val="1" w:hRule="atLeast"/>
          <w:jc w:val="left"/>
        </w:trPr>
        <w:tc>
          <w:tcPr>
            <w:tcW w:w="666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39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666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3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666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3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26</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Годеч</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Годеч няма желаещи да ползват социалната услуга асистентска подкрепа.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Годеч,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лица, които ползват социални услуги на територията на община Годеч, от други общини.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Годеч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Наблюдава се тенденция на увеличаване броя на населението. Раждаемостта в община Годеч е ниска, а равнището на смъртността е висока -</w:t>
      </w:r>
      <w:r>
        <w:rPr>
          <w:rFonts w:ascii="Times New Roman" w:hAnsi="Times New Roman" w:cs="Times New Roman" w:eastAsia="Times New Roman"/>
          <w:color w:val="000000"/>
          <w:spacing w:val="0"/>
          <w:position w:val="0"/>
          <w:sz w:val="24"/>
          <w:shd w:fill="auto" w:val="clear"/>
        </w:rPr>
        <w:t xml:space="preserve"> тези нива определят отрицателен естествен прираст на населените. В резултат на миграционните процеси в общината намалява населението и механичния прираст също е отрицателен.</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социалната услуга, на територията на общината е нает необходимият персонал за осигуряване на грижа за потребителите на услугата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7061"/>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ГОРНА МАЛИНА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Горна Малина информацията за населението по настоящ адрес е получена от НСИ, ДСП,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ГРАО“ на общината и доставчици на 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Горна Малина, към 31.12.2021 г. е 7270 жители, от тях 1107 деца до 18-годишна възраст. Общият брой на лицата с трайни увреждания е 558, а децата са 20.</w:t>
      </w:r>
    </w:p>
    <w:p>
      <w:pPr>
        <w:spacing w:before="0" w:after="0" w:line="240"/>
        <w:ind w:right="48"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48"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Горна Малина са разкрити три социални услуги, от които и Асистентска подкрепа с 24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940"/>
        <w:gridCol w:w="2647"/>
        <w:gridCol w:w="2408"/>
        <w:gridCol w:w="1065"/>
      </w:tblGrid>
      <w:tr>
        <w:trPr>
          <w:trHeight w:val="1" w:hRule="atLeast"/>
          <w:jc w:val="left"/>
        </w:trPr>
        <w:tc>
          <w:tcPr>
            <w:tcW w:w="294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64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ЦСРИПЛ</w:t>
            </w:r>
          </w:p>
        </w:tc>
        <w:tc>
          <w:tcPr>
            <w:tcW w:w="240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ЦСРИДМ</w:t>
            </w:r>
          </w:p>
        </w:tc>
        <w:tc>
          <w:tcPr>
            <w:tcW w:w="106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294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6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4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0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94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6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24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0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r>
    </w:tbl>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Горна Малина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лица, които желаят да ползват социалните услуги на територията на община Горна Малина.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Горна Малина,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Горна Малина, общия брой на потребители от други общини ползващи социални услуги е 44 бр., както следва: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ЦСРИПЛ</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41</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ЦСРИДМ</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Горна Малина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Стойностите на показателите за динамика на населението, раждаемост, смъртност, естествен прираст разкриват, че територията на община Горна Малина не прави изключение от негативната тенденция на демографско развитие на национално ниво. Въпреки отрицателния естествен прираст на населението (по-голям брой смъртност отколкото раждания), благодарение на високия механичен прираст през 2017 до 2021 година, в периода се наблюдава ръст на населението.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 социалната услуга ЦСРИДМУ има незаети общо 3 длъжности, от тях: 1 кинезитерапевт, 1 трудотерапевт и 1 психолог.</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 ЦСРИДЛ има 8,5 свободни длъжности, от които: 1 соц. работник, 1 логопед, 1 психолог, 1 специален педагог, 1 медицинска сестра, 2 други, 1 домакин и 0,5 хигиенист.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Проблемът с кадровото обезпечаване в социалните услуги е сериозен. Няма млади хора, които да желаят да работят и които биха могли да преминат нужното обучение. Няма квалифицирани специалисти. По данни на ДБТ - Ихтиман, което обслужва и община Горна Малина, има регистрирано едно лице с висше образование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медицина. Няма регистрирани безработни лица в областта на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Хуманитарните науки“ и лица с предишен опит в социалните услуги.</w:t>
      </w:r>
    </w:p>
    <w:p>
      <w:pPr>
        <w:spacing w:before="0" w:after="0" w:line="240"/>
        <w:ind w:right="0" w:left="0" w:firstLine="426"/>
        <w:jc w:val="both"/>
        <w:rPr>
          <w:rFonts w:ascii="Times New Roman" w:hAnsi="Times New Roman" w:cs="Times New Roman" w:eastAsia="Times New Roman"/>
          <w:b/>
          <w:color w:val="auto"/>
          <w:spacing w:val="0"/>
          <w:position w:val="0"/>
          <w:sz w:val="24"/>
          <w:shd w:fill="auto" w:val="clear"/>
        </w:rPr>
      </w:pPr>
    </w:p>
    <w:p>
      <w:pPr>
        <w:keepNext w:val="true"/>
        <w:numPr>
          <w:ilvl w:val="0"/>
          <w:numId w:val="7086"/>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8"/>
          <w:shd w:fill="auto" w:val="clear"/>
        </w:rPr>
        <w:t xml:space="preserve"> </w:t>
      </w:r>
      <w:r>
        <w:rPr>
          <w:rFonts w:ascii="Times New Roman" w:hAnsi="Times New Roman" w:cs="Times New Roman" w:eastAsia="Times New Roman"/>
          <w:b/>
          <w:color w:val="003366"/>
          <w:spacing w:val="0"/>
          <w:position w:val="0"/>
          <w:sz w:val="24"/>
          <w:shd w:fill="auto" w:val="clear"/>
        </w:rPr>
        <w:t xml:space="preserve">ОБЩИНА ДОЛНА БАНЯ</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Долна баня информацията за населението по настоящ адрес е получена от НСИ, Демографски данни от ГРАО“,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Ихтиман, ДБТ-Самоков.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Долна баня, към 31.12.2021 г. е 4781 жители, от тях 992 деца до 18-годишна възраст. Общият брой на лицата с трайни увреждания е 569, от тях деца 20.</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tbl>
      <w:tblPr/>
      <w:tblGrid>
        <w:gridCol w:w="2185"/>
        <w:gridCol w:w="2000"/>
        <w:gridCol w:w="1747"/>
        <w:gridCol w:w="1227"/>
        <w:gridCol w:w="1109"/>
        <w:gridCol w:w="792"/>
      </w:tblGrid>
      <w:tr>
        <w:trPr>
          <w:trHeight w:val="1" w:hRule="atLeast"/>
          <w:jc w:val="left"/>
        </w:trPr>
        <w:tc>
          <w:tcPr>
            <w:tcW w:w="218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0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ЦНСТПЛД</w:t>
            </w:r>
          </w:p>
        </w:tc>
        <w:tc>
          <w:tcPr>
            <w:tcW w:w="174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ЦНСТСХ</w:t>
            </w:r>
          </w:p>
        </w:tc>
        <w:tc>
          <w:tcPr>
            <w:tcW w:w="122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ЦРДУ</w:t>
            </w:r>
          </w:p>
        </w:tc>
        <w:tc>
          <w:tcPr>
            <w:tcW w:w="110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ПЖД</w:t>
            </w:r>
          </w:p>
        </w:tc>
        <w:tc>
          <w:tcPr>
            <w:tcW w:w="79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218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0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7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7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18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0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7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12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1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7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Долна баня са разкрити 13 социални услуги, като 8 от тях предоставят на територията на община Долна баня, местност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Циганско меше“. Общият капацитет на социалните услуги е за 254 потребители, в т.ч. 14 бр.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809"/>
        <w:gridCol w:w="1261"/>
        <w:gridCol w:w="1649"/>
        <w:gridCol w:w="1618"/>
        <w:gridCol w:w="882"/>
        <w:gridCol w:w="1841"/>
      </w:tblGrid>
      <w:tr>
        <w:trPr>
          <w:trHeight w:val="1" w:hRule="atLeast"/>
          <w:jc w:val="left"/>
        </w:trPr>
        <w:tc>
          <w:tcPr>
            <w:tcW w:w="180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26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164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ЦСРИПЛУ</w:t>
            </w:r>
          </w:p>
        </w:tc>
        <w:tc>
          <w:tcPr>
            <w:tcW w:w="161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88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184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r>
      <w:tr>
        <w:trPr>
          <w:trHeight w:val="1" w:hRule="atLeast"/>
          <w:jc w:val="left"/>
        </w:trPr>
        <w:tc>
          <w:tcPr>
            <w:tcW w:w="180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2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6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6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180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2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6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6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c>
          <w:tcPr>
            <w:tcW w:w="1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45</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Долна баня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Долна баня е 59 лица. 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ЦНСТПЛПР</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57</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ЦНСТПЛД</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Долна баня,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Долна баня, от други общини е 76, от които: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ЦНСТДБУ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ПЖД</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ЦНСТПЛПР</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27</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21</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ЦНСПЛД</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Долна баня за последните 5 години</w:t>
      </w: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Данните показват, че броя на населението намалява и в общи Долна баня. Основен фактор </w:t>
      </w:r>
      <w:r>
        <w:rPr>
          <w:rFonts w:ascii="Times New Roman" w:hAnsi="Times New Roman" w:cs="Times New Roman" w:eastAsia="Times New Roman"/>
          <w:color w:val="000000"/>
          <w:spacing w:val="0"/>
          <w:position w:val="0"/>
          <w:sz w:val="24"/>
          <w:shd w:fill="auto" w:val="clear"/>
        </w:rPr>
        <w:t xml:space="preserve">за това може да се посочи проявяващата се вътрешна миграция към по-големите градове, предимно от по-младото население на възраст 18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35 </w:t>
      </w:r>
      <w:r>
        <w:rPr>
          <w:rFonts w:ascii="Times New Roman" w:hAnsi="Times New Roman" w:cs="Times New Roman" w:eastAsia="Times New Roman"/>
          <w:color w:val="000000"/>
          <w:spacing w:val="0"/>
          <w:position w:val="0"/>
          <w:sz w:val="24"/>
          <w:shd w:fill="auto" w:val="clear"/>
        </w:rPr>
        <w:t xml:space="preserve">години, търсещо възможност за по-добра реализация и препитание в</w:t>
      </w:r>
      <w:r>
        <w:rPr>
          <w:rFonts w:ascii="Times New Roman" w:hAnsi="Times New Roman" w:cs="Times New Roman" w:eastAsia="Times New Roman"/>
          <w:color w:val="auto"/>
          <w:spacing w:val="0"/>
          <w:position w:val="0"/>
          <w:sz w:val="24"/>
          <w:shd w:fill="auto" w:val="clear"/>
        </w:rPr>
        <w:t xml:space="preserve"> големите градовете. Напускане  границите на общината и страната. Ниската раждаемост и висока смъртност, пандемията, води до отрицателни стойности на естествения прираст. Процесът на намаляване на населението характерен и за страната като цяло, засяга и община Долна баня със същите темпове, които са характерни за преобладаващата част общини в страната.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съпоставка на данните за брой на назначени служители и брой незаети длъжности към момента на извършването на анализа по утвърдените щатни разписания във всяка услуга, както и въз основа на определените минимални изисквания в стандартите за качество на социалните услуги, касаещи броя и квалификацията на необходимите служители се вижда, че има незаети длъжности. Като общо длъжности незаетите места са 42, от които 22 незаети са в 6 социални услуги за резидентна грижа за пълнолетни лица, както следва: 3 за директор, медицински специалисти - 2, медицински сестра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9, </w:t>
      </w:r>
      <w:r>
        <w:rPr>
          <w:rFonts w:ascii="Times New Roman" w:hAnsi="Times New Roman" w:cs="Times New Roman" w:eastAsia="Times New Roman"/>
          <w:color w:val="auto"/>
          <w:spacing w:val="0"/>
          <w:position w:val="0"/>
          <w:sz w:val="24"/>
          <w:shd w:fill="auto" w:val="clear"/>
        </w:rPr>
        <w:t xml:space="preserve">трудотерапевти - 2, санитари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 </w:t>
      </w:r>
      <w:r>
        <w:rPr>
          <w:rFonts w:ascii="Times New Roman" w:hAnsi="Times New Roman" w:cs="Times New Roman" w:eastAsia="Times New Roman"/>
          <w:color w:val="auto"/>
          <w:spacing w:val="0"/>
          <w:position w:val="0"/>
          <w:sz w:val="24"/>
          <w:shd w:fill="auto" w:val="clear"/>
        </w:rPr>
        <w:t xml:space="preserve">работник кухня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3, </w:t>
      </w:r>
      <w:r>
        <w:rPr>
          <w:rFonts w:ascii="Times New Roman" w:hAnsi="Times New Roman" w:cs="Times New Roman" w:eastAsia="Times New Roman"/>
          <w:color w:val="auto"/>
          <w:spacing w:val="0"/>
          <w:position w:val="0"/>
          <w:sz w:val="24"/>
          <w:shd w:fill="auto" w:val="clear"/>
        </w:rPr>
        <w:t xml:space="preserve">други - 1.</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7130"/>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ДРАГОМАН</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са използвани официални източници на информация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данни на НСИ, ЕСГРАОН - ТДС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Драгоман,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Сливница,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Сливница, доставчици на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Драгоман, към 31.12.2021 г. е 4842 жители, от тях 568 деца до 18-годишна възраст. Общия брой на лицата с трайни увреждания е 522, от тях деца 13.</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Драгоман са разкрити 5 социални услуги, от които 4 се предоставят в гр. Драгоман, и една в с. Калотина. Общият капацитет на социалните услуги е за 75 потребители, в т.ч. 9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124"/>
        <w:gridCol w:w="1038"/>
        <w:gridCol w:w="991"/>
        <w:gridCol w:w="1903"/>
        <w:gridCol w:w="2234"/>
        <w:gridCol w:w="770"/>
      </w:tblGrid>
      <w:tr>
        <w:trPr>
          <w:trHeight w:val="1" w:hRule="atLeast"/>
          <w:jc w:val="left"/>
        </w:trPr>
        <w:tc>
          <w:tcPr>
            <w:tcW w:w="212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03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99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КЦД</w:t>
            </w:r>
          </w:p>
        </w:tc>
        <w:tc>
          <w:tcPr>
            <w:tcW w:w="190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223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ЦНСТПЛФУ</w:t>
            </w:r>
          </w:p>
        </w:tc>
        <w:tc>
          <w:tcPr>
            <w:tcW w:w="77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212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0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9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2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7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12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0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9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19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c>
          <w:tcPr>
            <w:tcW w:w="22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7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r>
    </w:tbl>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Драгоман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Драгоман са 3 лица, за асистентска подкрепа.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Асистентска подкрепа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Драгоман,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Драгоман, от други общини е 17, от които: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8"/>
        <w:gridCol w:w="4512"/>
      </w:tblGrid>
      <w:tr>
        <w:trPr>
          <w:trHeight w:val="1" w:hRule="atLeast"/>
          <w:jc w:val="left"/>
        </w:trPr>
        <w:tc>
          <w:tcPr>
            <w:tcW w:w="454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ЦНСТДБУ</w:t>
            </w:r>
          </w:p>
        </w:tc>
        <w:tc>
          <w:tcPr>
            <w:tcW w:w="4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ЦНСТПЛФУ</w:t>
            </w:r>
          </w:p>
        </w:tc>
        <w:tc>
          <w:tcPr>
            <w:tcW w:w="4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4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4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КЦ</w:t>
            </w:r>
          </w:p>
        </w:tc>
        <w:tc>
          <w:tcPr>
            <w:tcW w:w="4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Драгоман за последните 5 години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Основните причини за плавното намаляване на населението през последните години, включва относително голям брой лица на възраст над 65 г., лица с трайни увреждания, тенденциите за обезлюдяване, естественият и механичен прираст са отрицателни.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Съществуващите към настоящия момент социални услуги са обезпечени с необходимия брой специалисти и обслужващ персонал, незаети са длъжностите ръководител - 1, социален работник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 </w:t>
      </w:r>
      <w:r>
        <w:rPr>
          <w:rFonts w:ascii="Times New Roman" w:hAnsi="Times New Roman" w:cs="Times New Roman" w:eastAsia="Times New Roman"/>
          <w:color w:val="auto"/>
          <w:spacing w:val="0"/>
          <w:position w:val="0"/>
          <w:sz w:val="24"/>
          <w:shd w:fill="auto" w:val="clear"/>
        </w:rPr>
        <w:t xml:space="preserve">медицинска сестра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0,5, </w:t>
      </w:r>
      <w:r>
        <w:rPr>
          <w:rFonts w:ascii="Times New Roman" w:hAnsi="Times New Roman" w:cs="Times New Roman" w:eastAsia="Times New Roman"/>
          <w:color w:val="auto"/>
          <w:spacing w:val="0"/>
          <w:position w:val="0"/>
          <w:sz w:val="24"/>
          <w:shd w:fill="auto" w:val="clear"/>
        </w:rPr>
        <w:t xml:space="preserve">логопед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арт терапевт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асистент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хигиенист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0,5.</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Регистрираните безработни лица 31.12.2022 г. са 69 бр., като от тях са 3 броя лица са с намалена трудоспособност; 12 бр. са лица с висше образование; 43 бр. лица са със средно образование; 14 бр. лица са с основно и по ниско образование.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7163"/>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ЕЛИН ПЕЛИН</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При изготвянето на анализа са използвани официални източници на информация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данни на НСИ, общинска администрация ГРАО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Елин Пелин, </w:t>
      </w:r>
      <w:r>
        <w:rPr>
          <w:rFonts w:ascii="Times New Roman" w:hAnsi="Times New Roman" w:cs="Times New Roman" w:eastAsia="Times New Roman"/>
          <w:color w:val="000000"/>
          <w:spacing w:val="0"/>
          <w:position w:val="0"/>
          <w:sz w:val="24"/>
          <w:shd w:fill="FFFFFF" w:val="clear"/>
        </w:rPr>
        <w:t xml:space="preserve">ДСП Елин Пелин, ДБТ.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Елин Пелин, към 31.12.2021 г. е 20 966 жители, от тях 3 776 деца до 18-годишна възраст. Общия брой на лицата с трайни увреждания е 2072, от тях деца 70.</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Елин Пелин се предоставя 2 социални услуги, от които ЦСРИД и Асистентска подкрепа, с общ брой 116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441"/>
        <w:gridCol w:w="3008"/>
        <w:gridCol w:w="1611"/>
      </w:tblGrid>
      <w:tr>
        <w:trPr>
          <w:trHeight w:val="1" w:hRule="atLeast"/>
          <w:jc w:val="left"/>
        </w:trPr>
        <w:tc>
          <w:tcPr>
            <w:tcW w:w="444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300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ЦСРИД</w:t>
            </w:r>
          </w:p>
        </w:tc>
        <w:tc>
          <w:tcPr>
            <w:tcW w:w="161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44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30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6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4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30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50</w:t>
            </w:r>
          </w:p>
        </w:tc>
        <w:tc>
          <w:tcPr>
            <w:tcW w:w="16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66</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Елин Пелин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желаещи да ползват социални услуги на територията на община Елин Пелин.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Елин Пелин,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 от други общини, които ползват социални услуги на територията на общината, е 6.</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ЦСРИД</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Елин Пелин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Демографските показатели в община Елин Пелин отчитат забавяне темповете на намаляване на населението, което се дължи на повишаване равнището на раждаемостта в Община Елин Пелин. В същото време обаче се запазва високото равнище на смъртност сред населението. В предоставения анализ няма информация, посочени данни за брой заселени, изселени и гъстота на населението.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са обезпечени с необходимите длъжности персонал, няма незаети.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7184"/>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ЕТРОПОЛЕ</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са използвани официални източници на информация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НСИ, ЕСГРАОН-ТДС-Етрополе, ДСП - Етрополе, ДБТ - Ботевград, доставчици на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Етрополе, към 31.12.2021 г. е 12094 жители, от тях 2056 деца до 18-годишна възраст. Общият брой на лицата с трайни увреждания е 1469, от тях деца 52.</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Етрополе са разкрити 4 социални услуги, и всички се предоставят в гр. Етрополе. Общият капацитет на социалните услуги е за 126 потребители, в т.ч. 40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796"/>
        <w:gridCol w:w="1281"/>
        <w:gridCol w:w="1368"/>
        <w:gridCol w:w="2602"/>
        <w:gridCol w:w="1013"/>
      </w:tblGrid>
      <w:tr>
        <w:trPr>
          <w:trHeight w:val="1" w:hRule="atLeast"/>
          <w:jc w:val="left"/>
        </w:trPr>
        <w:tc>
          <w:tcPr>
            <w:tcW w:w="279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28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136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260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ЦСРИДМУ</w:t>
            </w:r>
          </w:p>
        </w:tc>
        <w:tc>
          <w:tcPr>
            <w:tcW w:w="101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27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28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3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6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0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7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28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w:t>
            </w:r>
          </w:p>
        </w:tc>
        <w:tc>
          <w:tcPr>
            <w:tcW w:w="13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26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34</w:t>
            </w:r>
          </w:p>
        </w:tc>
        <w:tc>
          <w:tcPr>
            <w:tcW w:w="10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Етрополе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желаещите да ползват социални услуги на територията на община Етрополе.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Етрополе,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Етрополе, от други общини е 15, от които: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ЦСРИДМ</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Етрополе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Населението на община Етрополе в трудоспособна възраст е по-високо, а в над трудоспособна възраст е по-ниско. В резултат на отрицателния естествен прираст и отрицателния механичен прираст населението на община Етрополе постепенно намалява. Относителният дял на жените в населението е по-голям в сравнение от този на мъжете.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предоставените данни за наличните социални услуги на територията на община Етрополе е видно, че всички са обезпечени с необходимите категории служители, необходими за предоставяне на съответните услуги. В услугата ДСХ има незаети бройки - 1,5, от които: 1 бр. санитар и 0,5 медицинска сестра.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Прогнозата за необходимите служители за извършване на дейностите по предоставяне на социални и интегрирани здравно-социални услуги предвиждат увеличаване на броя на специалистите с цел достигане на стандартите за качество.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7206"/>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ЗЛАТИЦА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са използвани официални източници на информация -</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Националният статистически институт, Единната система за гражданска регистрация и административно обслужване на населението (ЕСГРАОН-ТДС)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Златица, които по силата на закон имат право да събират и администрират съответните данни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ДСП-Пирдоп, РЗИ - София област, ДБТ - Пирдоп; информация от доставчици на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Златица, към 31.12.2021 г. е 4862 жители, от тях 747 деца до 18-годишна възраст. Общия брой на лицата с трайни увреждания е 455, от тях деца 17.</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Златица са разкрити 2 социални услуги, като Дневен център за деца и младежи с увреждания в гр. Златица и Асистентска подкрепа. Общият капацитет на социалните услуги е за 41 потребители, в т.ч. 16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tbl>
      <w:tblPr/>
      <w:tblGrid>
        <w:gridCol w:w="4360"/>
        <w:gridCol w:w="3118"/>
        <w:gridCol w:w="1582"/>
      </w:tblGrid>
      <w:tr>
        <w:trPr>
          <w:trHeight w:val="1" w:hRule="atLeast"/>
          <w:jc w:val="left"/>
        </w:trPr>
        <w:tc>
          <w:tcPr>
            <w:tcW w:w="43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311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158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43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311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3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311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c>
          <w:tcPr>
            <w:tcW w:w="15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Златица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желаещи да ползват социални услуги на територията на община Златица.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Златица,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предоставяни в община Златица се ползват и от потребители от съседни общини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Антон, Пирдоп, Мирково, Чавдар, Челопеч и Копривщица. Общината не уточнява какъв е броят на потребителите от други общини и кои услуги ползват те.</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Златица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Демографското развитие в община Златица се вписва в тенденциите на национално ниво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общо намаляване на населението, отрицателен естествен и механичен прираст. Наблюдава се увеличаване на смъртността, като причина, освен застаряващото население, може да бъде отдадено и на пандемията COVID-19.</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Ннаселението на община Златица в трудоспособна възраст е по-високо, а в над трудоспособна възраст е по-ниско.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предоставените данни за наличните социални услуги на територията на община Златица е видно, че те са обезпечени с необходимите категории служители, необходими за предоставяне на съответните услуги. В услугата ДЦДМУ има 3 незаети длъжности, от които: рехабилитатор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0,5, </w:t>
      </w:r>
      <w:r>
        <w:rPr>
          <w:rFonts w:ascii="Times New Roman" w:hAnsi="Times New Roman" w:cs="Times New Roman" w:eastAsia="Times New Roman"/>
          <w:color w:val="auto"/>
          <w:spacing w:val="0"/>
          <w:position w:val="0"/>
          <w:sz w:val="24"/>
          <w:shd w:fill="auto" w:val="clear"/>
        </w:rPr>
        <w:t xml:space="preserve">социален работник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логопед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0,5 </w:t>
      </w:r>
      <w:r>
        <w:rPr>
          <w:rFonts w:ascii="Times New Roman" w:hAnsi="Times New Roman" w:cs="Times New Roman" w:eastAsia="Times New Roman"/>
          <w:color w:val="auto"/>
          <w:spacing w:val="0"/>
          <w:position w:val="0"/>
          <w:sz w:val="24"/>
          <w:shd w:fill="auto" w:val="clear"/>
        </w:rPr>
        <w:t xml:space="preserve">и хигиенист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w:t>
      </w:r>
    </w:p>
    <w:p>
      <w:pPr>
        <w:spacing w:before="0" w:after="0" w:line="240"/>
        <w:ind w:right="0" w:left="0" w:firstLine="0"/>
        <w:jc w:val="both"/>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Прогнозата за необходимите служители за услугите ДЦДМУ ще се структурира като Комплекс за социални услуги, което ще наложи увеличаване на специализирания персонал и оптимизация на наличния за достигане стандартите за качество. </w:t>
      </w:r>
    </w:p>
    <w:p>
      <w:pPr>
        <w:spacing w:before="0" w:after="0" w:line="240"/>
        <w:ind w:right="0" w:left="0" w:firstLine="0"/>
        <w:jc w:val="both"/>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Анализът на потребностите от социални услуги на общинско и областно ниво и Предложението за планиране са публикувани на 15.02.2023 г. на интернет страницата на общината за обсъждане. В законоустановения срок /30 дни/ няма внесени мнения, становища и предложения по проекта. След проведено на 17.03.2023 г. публично представяне на анализа и обсъждане на предложението за планирането в общината на социалните услуги на общинско и областно ниво, отново няма изразени мнения, постъпили предложения и възражения.</w:t>
      </w:r>
    </w:p>
    <w:p>
      <w:pPr>
        <w:spacing w:before="0" w:after="0" w:line="240"/>
        <w:ind w:right="0" w:left="0" w:firstLine="0"/>
        <w:jc w:val="both"/>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В Предложението, Раздел 2 за планиране на социалните услуги на областно ниво за удовлетворяване на потребностите на населението от област София област и максимален брой потребители по критериите на община Златица, е предложено разкриване  на социалната услуга </w:t>
      </w:r>
      <w:r>
        <w:rPr>
          <w:rFonts w:ascii="Times New Roman" w:hAnsi="Times New Roman" w:cs="Times New Roman" w:eastAsia="Times New Roman"/>
          <w:color w:val="000000"/>
          <w:spacing w:val="0"/>
          <w:position w:val="0"/>
          <w:sz w:val="24"/>
          <w:shd w:fill="FFFFFF" w:val="clear"/>
        </w:rPr>
        <w:t xml:space="preserve">„</w:t>
      </w:r>
      <w:r>
        <w:rPr>
          <w:rFonts w:ascii="Times New Roman" w:hAnsi="Times New Roman" w:cs="Times New Roman" w:eastAsia="Times New Roman"/>
          <w:color w:val="000000"/>
          <w:spacing w:val="0"/>
          <w:position w:val="0"/>
          <w:sz w:val="24"/>
          <w:shd w:fill="FFFFFF" w:val="clear"/>
        </w:rPr>
        <w:t xml:space="preserve">Резидентна грижа за пълнолетни лица с деменция“ в гр. Златица, с капацитет 15 места през 2025 г. Същата е била заложена и предвидена през 2020 г. в предварителното картиране на социалните услуги и сега е включена в областното Споразумение, проведено на 30.01.2023 г. Съобразно изведения максимален брой потребители по критериите за община Златица, е констатирана потребност на 2 лица с деменция. </w:t>
      </w:r>
    </w:p>
    <w:p>
      <w:pPr>
        <w:spacing w:before="0" w:after="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На 31.03.2023 г. след проведена редовна сесия на Общински съвет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Златица, Анализа и Предложението не са приети.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Общински съвет -  Златица с Решение на сесия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485, </w:t>
      </w:r>
      <w:r>
        <w:rPr>
          <w:rFonts w:ascii="Times New Roman" w:hAnsi="Times New Roman" w:cs="Times New Roman" w:eastAsia="Times New Roman"/>
          <w:color w:val="auto"/>
          <w:spacing w:val="0"/>
          <w:position w:val="0"/>
          <w:sz w:val="24"/>
          <w:shd w:fill="auto" w:val="clear"/>
        </w:rPr>
        <w:t xml:space="preserve">Препис-извлечение по Протокол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53 </w:t>
      </w:r>
      <w:r>
        <w:rPr>
          <w:rFonts w:ascii="Times New Roman" w:hAnsi="Times New Roman" w:cs="Times New Roman" w:eastAsia="Times New Roman"/>
          <w:color w:val="auto"/>
          <w:spacing w:val="0"/>
          <w:position w:val="0"/>
          <w:sz w:val="24"/>
          <w:shd w:fill="auto" w:val="clear"/>
        </w:rPr>
        <w:t xml:space="preserve">от проведено заседание на 24.04.2023 г., е приел - Анализа на потребностите от социални услуги на общинско и областно ниво и Предложение за планиране на социалните услуги на общинско и областно ниво, които се финансират изцяло или частично от държавния бюджет за община Златица, като не дава съгласие за разкриване на социалната услуга за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Резидентна грижа за пълнолетни лица с деменция“.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7218"/>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ИХТИМАН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Ихтиман информацията за населението е ползвана от ДСП - гр. Ихтиман; служба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ГРАО” на Община Ихтиман и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 гр. Ихтиман. Общият брой на населението на община Ихтиман, към 31.12.2021 г. е 18 632 жители, от тях 4 088 деца до 18-годишна възраст. Общият брой на лицата с трайни увреждания е 1 677, от тях деца 74.</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Ихтиман са разкрити 3 социални услуги, които се предоставят на територията на гр. Ихтиман. Общият капацитет на социалните услуги е за 126 потребители, в т.ч. 50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223"/>
        <w:gridCol w:w="2307"/>
        <w:gridCol w:w="1754"/>
        <w:gridCol w:w="1776"/>
      </w:tblGrid>
      <w:tr>
        <w:trPr>
          <w:trHeight w:val="269" w:hRule="auto"/>
          <w:jc w:val="center"/>
        </w:trPr>
        <w:tc>
          <w:tcPr>
            <w:tcW w:w="322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30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175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177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243" w:hRule="auto"/>
          <w:jc w:val="center"/>
        </w:trPr>
        <w:tc>
          <w:tcPr>
            <w:tcW w:w="32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30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5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349" w:hRule="auto"/>
          <w:jc w:val="center"/>
        </w:trPr>
        <w:tc>
          <w:tcPr>
            <w:tcW w:w="32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30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36</w:t>
            </w:r>
          </w:p>
        </w:tc>
        <w:tc>
          <w:tcPr>
            <w:tcW w:w="175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c>
          <w:tcPr>
            <w:tcW w:w="17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50</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Ихтиман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общината няма лица, които желаят да ползват социалните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Ихтиман,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лица от други общини, които да ползват социалните услуги, на територията на община Ихтиман.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Ихтиман за последните 5 години</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Населението на Община Ихтиман е с тенденция към застаряване. До голяма степен това се дължи на близостта на града до столицата и втория по големина град в България, което предразполага преместването на младите хора към други населени места с цел обучение, работа, социално и кариерно развитие и др.</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община Ихтиман във всички услуги, с изключение на Асистентската подкрепа, са покрити нуждите от квалифициран персонал, необходим за предоставяне на социалните дейности. В Асистентската подкрепа има недостиг на асистенти, които да обслужват потребителите на услугата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за 32 потребители се грижат 28 на брой асистенти.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 цел развиване и повишаване качеството на предлаганите социални услуги в община Ихтиман са осигурени специалисти с нужната квалификация, съобразени с потребностите на потребителите, свързани с поддържане и запазване на изградените умения, посрещане на специфичните им нужди и социално включване.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Въз основа на определените минимални изисквания в стандартите за качество на социалните услуги, касаещи броя и квалификацията на необходимите служители и с оглед на оптималното функциониране на предоставяните в ЦОП услуги информиране и консултиране, терапия, обучение за придобиване на умения, посредничество и общностна работа, ще бъдат необходими допълнително следните специалисти: 1 психолог, 1 логопед, </w:t>
      </w:r>
      <w:r>
        <w:rPr>
          <w:rFonts w:ascii="Times New Roman" w:hAnsi="Times New Roman" w:cs="Times New Roman" w:eastAsia="Times New Roman"/>
          <w:color w:val="auto"/>
          <w:spacing w:val="0"/>
          <w:position w:val="0"/>
          <w:sz w:val="24"/>
          <w:shd w:fill="auto" w:val="clear"/>
        </w:rPr>
        <w:t xml:space="preserve">½ </w:t>
      </w:r>
      <w:r>
        <w:rPr>
          <w:rFonts w:ascii="Times New Roman" w:hAnsi="Times New Roman" w:cs="Times New Roman" w:eastAsia="Times New Roman"/>
          <w:color w:val="auto"/>
          <w:spacing w:val="0"/>
          <w:position w:val="0"/>
          <w:sz w:val="24"/>
          <w:shd w:fill="auto" w:val="clear"/>
        </w:rPr>
        <w:t xml:space="preserve">педагог, 2-ма социални работници.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7234"/>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КОПРИВЩИЦА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Копривщица информацията за населението по настоящ адрес е получена от ДСП - Пирдоп, Съвета по въпросите на социалните услуги към Община Копривщица.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Копривщица, към 31.12.2021 г. е 2092 жители, от тях 260 деца до 18-годишна възраст. Общият брой на пълнолетните лица с трайни увреждания е 231, а на децата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Копривщица е разкрита 1 социална услуга, която се предоставя в гр. Копривщица. Капацитетът на социалната услуга е 7.</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6648"/>
        <w:gridCol w:w="2412"/>
      </w:tblGrid>
      <w:tr>
        <w:trPr>
          <w:trHeight w:val="1" w:hRule="atLeast"/>
          <w:jc w:val="center"/>
        </w:trPr>
        <w:tc>
          <w:tcPr>
            <w:tcW w:w="664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1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center"/>
        </w:trPr>
        <w:tc>
          <w:tcPr>
            <w:tcW w:w="66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4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center"/>
        </w:trPr>
        <w:tc>
          <w:tcPr>
            <w:tcW w:w="66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4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Копривщица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лица, желаещи да ползват услуги, на територията на община Копривщица.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Копривщица,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лица от други общини, които ползват социални услуги в община Копривщица.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Копривщица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община Копривщица динамиката на населението показва тенденция на намаляване за последните 5 години. Естественият прираст на населението в общината е отрицателен. Населението в общината намалява.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Тенденциите, като намаляваща раждаемост и застаряване на населението, се наблюдават в община Копривщица и са симптоматични за цялата страна. Съществено влияние за поддържането на ниски нива на раждаемост оказват възрастовата структура в общината, ниво на безработица сред хората с по-ниско образование, намаляване на фертилния контингент, поради вътрешната и външна миграция в детеродна възраст при жените, психологическата нагласа за малко деца в семейството и други социални предпоставки.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Във функциониращата на територията на община Копривщица социална услуга, държавно делегирана дейност, Асистентска подкрепа работят необходимият брой специалисти - 3 бр. лични асистенти, притежаващи необходимото образование и квалификация за длъжността, на която са назначени.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Общината осигурява на специалистите възможност за непрекъснато обучение в съответствие с промените на законодателството и потребностите на хората с увреждания.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7245"/>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КОСТЕНЕЦ</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Костенец информацията за населението по настоящ адрес е получена от публична статистическа информация от официални източници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Национален статистически институт (НСИ), Общинска администрация Костенец,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Ихтиман,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Костенец, към 31.12.2021 г. е 12 041 жители, от тях 71757 деца до 18-годишна възраст. Общия брой на лицата с трайни увреждания е 1493, от тях деца 36.</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Костенец е разкрита 1 социална услуга, която се предоставя в гр. Костенец. Капацитетът на социалната услуга е 43.</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6648"/>
        <w:gridCol w:w="2412"/>
      </w:tblGrid>
      <w:tr>
        <w:trPr>
          <w:trHeight w:val="1" w:hRule="atLeast"/>
          <w:jc w:val="center"/>
        </w:trPr>
        <w:tc>
          <w:tcPr>
            <w:tcW w:w="664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41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center"/>
        </w:trPr>
        <w:tc>
          <w:tcPr>
            <w:tcW w:w="66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4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center"/>
        </w:trPr>
        <w:tc>
          <w:tcPr>
            <w:tcW w:w="66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4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43</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Костенец</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лица, желаещи да ползват социалната услуга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Асистентска подкрепа“ в гр. Костенец.</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Костенец,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лица от други общини, които да ползват социални услуги на територията на община Костенец.</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Костенец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Наблюдава се тенденция на отрицателен прираст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ниска раждаемост и високи нива на смъртност, за 2021 г.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13,5% </w:t>
      </w:r>
      <w:r>
        <w:rPr>
          <w:rFonts w:ascii="Times New Roman" w:hAnsi="Times New Roman" w:cs="Times New Roman" w:eastAsia="Times New Roman"/>
          <w:color w:val="auto"/>
          <w:spacing w:val="0"/>
          <w:position w:val="0"/>
          <w:sz w:val="24"/>
          <w:shd w:fill="auto" w:val="clear"/>
        </w:rPr>
        <w:t xml:space="preserve">отрицателен прираст.</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Неблагоприятните демографски тенденции в община Костенец водят до загуба на демографски и човешки потенциал. Средната продължителност на живота е около 70 години. Общата тенденция е към застаряване на населението.  </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Наблюдава се и висок процент на пълнолетните лица с трайни увреждания 20%, а именно 1478 лица. Броят на децата с трайни увреждания до 18 годишна възраст е 36.</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Трудоспособният контингент в общината показва нисък дял на лицата в под трудоспособна възраст, по-висок дял на лицата в над трудоспособна възраст и прогресивно намаляване на населението в трудоспособна възраст, което се дължи на по-ниската раждаемост в сравнение със смъртността. Това води до натрупване на население във високите възрасти, което от своя страна представлява заплаха за бъдещото формиране на трудоспособния контингент.</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социалната услуга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Асистентска подкрепа“ няма незаети длъжности.Ръководството и служителите в съществуващата социална услуга поддържат и демонстрират ниво на умения и знания, което им гарантира ефективно и ефикасно изпълнение на задълженията си.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7260"/>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КОСТИНБРОД</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Костинброд информацията за населението по настоящ адрес е получена от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ГРАО“,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Костинброд, към 31.12.2021 г. е 19 010 жители, от тях 2 645 деца до 18-годишна възраст. Общия брой на лицата с трайни увреждания е 1 637, от тях деца 57.</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Костинброд са разкрити 4 социални услуги, които се предоставят на територията на гр. Костинброд. Общият капацитет на социалните услуги е за 147 потребители, в т.ч. 51 асистентска подкрепа.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tbl>
      <w:tblPr/>
      <w:tblGrid>
        <w:gridCol w:w="2255"/>
        <w:gridCol w:w="1444"/>
        <w:gridCol w:w="1809"/>
        <w:gridCol w:w="1423"/>
        <w:gridCol w:w="2131"/>
      </w:tblGrid>
      <w:tr>
        <w:trPr>
          <w:trHeight w:val="269" w:hRule="auto"/>
          <w:jc w:val="center"/>
        </w:trPr>
        <w:tc>
          <w:tcPr>
            <w:tcW w:w="225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44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180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ЦСРИПЛ</w:t>
            </w:r>
          </w:p>
        </w:tc>
        <w:tc>
          <w:tcPr>
            <w:tcW w:w="142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ЦРДУ</w:t>
            </w:r>
          </w:p>
        </w:tc>
        <w:tc>
          <w:tcPr>
            <w:tcW w:w="213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243" w:hRule="auto"/>
          <w:jc w:val="center"/>
        </w:trPr>
        <w:tc>
          <w:tcPr>
            <w:tcW w:w="225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44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80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13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268" w:hRule="auto"/>
          <w:jc w:val="center"/>
        </w:trPr>
        <w:tc>
          <w:tcPr>
            <w:tcW w:w="225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44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80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c>
          <w:tcPr>
            <w:tcW w:w="14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26</w:t>
            </w:r>
          </w:p>
        </w:tc>
        <w:tc>
          <w:tcPr>
            <w:tcW w:w="213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51</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Костинброд</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лица, желаещи да ползват 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Костинброд,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Костинброд, от други общини е 38.</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ЦРДУ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Костинброд за последните 5 години</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Характеристиката на естественото движение на населението на община Костинброд за периода 2017 - 2021 г. показва, че раждаемостта не би могла да компенсира повишената смъртност на населението и да осигури добри възможности за естествено възпроизводство на населението.</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Наблюдава се застаряване на населението в общината, особено в малките населени места и регресивен тип възрастова структура в резултат на отрицателните демографски процеси. В селата по-голямата част от жителите са в нетрудоспособна възраст, а броят на самотните стари хора сред тях е значителен.</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Общината се характеризира с увеличаване на населението въпреки ниската раждаемост и отрицателен естествен прираст, което се дължи главно на миграционните процеси от града към селото и по малките населени места в близост до столицата, в следствие пандемията от Ковид 19 през 2020г., когато в община Костинброд има механичен прираст от 2269 души. Общината е засегната от миграционни движения, както вътре, така и извън границите й. Отчетени са и миграционните движения, включващи както заселване на лица от други общини, така и изселване на население извън общината. Тези процеси са естествени и до голяма степен зависят от състоянието на местната икономика, условията на живот и от поведенчески и други мотивации за заселване и изселване. Близостта до столицата и добрите транспортни връзки мотивират все повече семейства с възможности да закупуват имоти в града без да променят адресната си регистрация.</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община Костинброд във всички услуги, в голяма степен, са покрити нуждите от квалифициран персонал, необходим за предоставянето им. Назначени са необходимите специалисти за функциониране на услугите, с изключение на един психолог в ЦРДУ и един логопед в ЦОП. На извънщатни длъжности в ЦОП са наети: логопед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8 </w:t>
      </w:r>
      <w:r>
        <w:rPr>
          <w:rFonts w:ascii="Times New Roman" w:hAnsi="Times New Roman" w:cs="Times New Roman" w:eastAsia="Times New Roman"/>
          <w:color w:val="auto"/>
          <w:spacing w:val="0"/>
          <w:position w:val="0"/>
          <w:sz w:val="24"/>
          <w:shd w:fill="auto" w:val="clear"/>
        </w:rPr>
        <w:t xml:space="preserve">часа седмично; хигиенист -10 часа седмично; танцовo-двигателен терапевт -3 часа седмично и медиатор - 4 часа седмично. Назначаването на специалисти като външна услуга се налага поради липса на такива кадри на пазара на труда.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7286"/>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МИРКОВО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Мирково информацията за населението по настоящ адрес е получена от Служба ГРАО към ОА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Мирково, Дирекция “Социално подпомагане”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Елин Пелин,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 - гр. Пирдоп, официални данни от Националния статически институт.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Мирково, към 31.12.2021 г. е 1953 жители, от тях 284 деца до 18-годишна възраст. Общия брой на лицата с трайни увреждания е 172, от тях деца 8.</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Мирково е разкрита 1 социална услуга, която се предоставя на територията на с. Мирково, капацитетът на услугата е 9 места.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7183"/>
        <w:gridCol w:w="1877"/>
      </w:tblGrid>
      <w:tr>
        <w:trPr>
          <w:trHeight w:val="269" w:hRule="auto"/>
          <w:jc w:val="center"/>
        </w:trPr>
        <w:tc>
          <w:tcPr>
            <w:tcW w:w="718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hanging="108"/>
              <w:jc w:val="both"/>
              <w:rPr>
                <w:rFonts w:ascii="Calibri" w:hAnsi="Calibri" w:cs="Calibri" w:eastAsia="Calibri"/>
                <w:color w:val="auto"/>
                <w:spacing w:val="0"/>
                <w:position w:val="0"/>
                <w:sz w:val="22"/>
                <w:shd w:fill="auto" w:val="clear"/>
              </w:rPr>
            </w:pPr>
          </w:p>
        </w:tc>
        <w:tc>
          <w:tcPr>
            <w:tcW w:w="187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243" w:hRule="auto"/>
          <w:jc w:val="center"/>
        </w:trPr>
        <w:tc>
          <w:tcPr>
            <w:tcW w:w="718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87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350" w:hRule="auto"/>
          <w:jc w:val="center"/>
        </w:trPr>
        <w:tc>
          <w:tcPr>
            <w:tcW w:w="718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87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Мирково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лица, желаещи да ползват социалната услуга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Асистентска подкрепа“ в община Мирково.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Мирково,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Мирково няма регистрирани такива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Мирково за последните 5 години</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Населението в общината е с тенденция към намаляване /както е тенденцията за страната като цяло/. Естественият прираст на населението е отрицателен. Причина за това е ниската раждаемост, високата смъртност и избора за развитие на младите хора в по- големите населени места. Като извод може да се заключи, че тенденцията във възрастовата структура на населението е към застаряване.</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община Мирково към момента има 1 служител- специалист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Социални и хуманитарни дейности“, който изпълнява дейностите на социалните услуги. Няма незаети длъжности за този вид дейност. На този етап няма нужда от разкриване на допълнителни бройки.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7305"/>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ПИРДОП</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Пирдоп информацията за населението по настоящ адрес е получена от ГРАО, експертите от отдел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Образование“,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ДБТ, НСИ и др.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Пирдоп, към 31.12.2021 г. е 7 690 жители, от тях 1 190 деца до 18-годишна възраст. Общия брой на лицата с трайни увреждания е 698, от тях деца 37.</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Пирдоп са разкрити 2 социални услуги, които се предоставят на територията на гр. Пирдоп. Общият капацитет на социалните услуги е за 50 потребители, в т.ч. 20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752"/>
        <w:gridCol w:w="2684"/>
        <w:gridCol w:w="2624"/>
      </w:tblGrid>
      <w:tr>
        <w:trPr>
          <w:trHeight w:val="269" w:hRule="auto"/>
          <w:jc w:val="center"/>
        </w:trPr>
        <w:tc>
          <w:tcPr>
            <w:tcW w:w="375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68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262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243" w:hRule="auto"/>
          <w:jc w:val="center"/>
        </w:trPr>
        <w:tc>
          <w:tcPr>
            <w:tcW w:w="37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6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62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349" w:hRule="auto"/>
          <w:jc w:val="center"/>
        </w:trPr>
        <w:tc>
          <w:tcPr>
            <w:tcW w:w="37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6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262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Пирдоп</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Пирдоп е 1 лице.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037"/>
        <w:gridCol w:w="5023"/>
      </w:tblGrid>
      <w:tr>
        <w:trPr>
          <w:trHeight w:val="1" w:hRule="atLeast"/>
          <w:jc w:val="left"/>
        </w:trPr>
        <w:tc>
          <w:tcPr>
            <w:tcW w:w="403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02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Пирдоп,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Пирдоп, от други общини е 29.</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29</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Пирдоп за последните 5 години</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Естественият прираст на населението в общината е отрицателен. Населението по населени места в общината намалява и е предимно в гр. Пирдоп. Около 90 % от населението е съсредоточено в административния център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Пирдоп, а в селото- 10%.</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Пирдоп е засегната от процесите на силна урбанизация, характерни за повечето райони на страната. Населението е небалансирано между града и селото.</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 общината са характерни тенденциите като намаляваща раждаемост и застаряване на населението, които се наблюдават като цяло в област София и са симптоматични за цялата страна.</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момента на изготвяне на анализа в община Пирдоп няма незаети длъжности в социалните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Пирдоп не може да гарантира, че при разкриване на услуги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общодостъпни, дневни и резидентни, ще се осигури необходимия специализиран и общ персонал.</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7335"/>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ПРАВЕЦ</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Правец информацията за населението по настоящ адрес е получена от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гр. </w:t>
      </w:r>
      <w:r>
        <w:rPr>
          <w:rFonts w:ascii="Times New Roman" w:hAnsi="Times New Roman" w:cs="Times New Roman" w:eastAsia="Times New Roman"/>
          <w:color w:val="auto"/>
          <w:spacing w:val="0"/>
          <w:position w:val="0"/>
          <w:sz w:val="24"/>
          <w:shd w:fill="FFFFFF" w:val="clear"/>
        </w:rPr>
        <w:t xml:space="preserve">Правец,</w:t>
      </w:r>
      <w:r>
        <w:rPr>
          <w:rFonts w:ascii="Times New Roman" w:hAnsi="Times New Roman" w:cs="Times New Roman" w:eastAsia="Times New Roman"/>
          <w:color w:val="auto"/>
          <w:spacing w:val="0"/>
          <w:position w:val="0"/>
          <w:sz w:val="24"/>
          <w:shd w:fill="auto" w:val="clear"/>
        </w:rPr>
        <w:t xml:space="preserve">, филиал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труда“-Правец, доставчици на услуги, НПО, НСИ.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Правец, към 31.12.2021 г. е 7 510 жители, от тях 1 395 деца до 18-годишна възраст. Общия брой на лицата с трайни увреждания е 745, от тях деца 41.</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Правец са разкрити 6 социални услуги, същите се предоставят на територията на гр. Правец, като изключение прави социалната услуга ЗЖЛУИ, която се предоставя в с. Видраре. Общият капацитет на социалните услуги е за 126 потребители, в т.ч. 25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588"/>
        <w:gridCol w:w="1110"/>
        <w:gridCol w:w="1301"/>
        <w:gridCol w:w="1314"/>
        <w:gridCol w:w="1491"/>
        <w:gridCol w:w="1129"/>
        <w:gridCol w:w="1127"/>
      </w:tblGrid>
      <w:tr>
        <w:trPr>
          <w:trHeight w:val="269" w:hRule="auto"/>
          <w:jc w:val="center"/>
        </w:trPr>
        <w:tc>
          <w:tcPr>
            <w:tcW w:w="158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11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130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ЦСРИДМ</w:t>
            </w:r>
          </w:p>
        </w:tc>
        <w:tc>
          <w:tcPr>
            <w:tcW w:w="13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ЦНСТСХ</w:t>
            </w:r>
          </w:p>
        </w:tc>
        <w:tc>
          <w:tcPr>
            <w:tcW w:w="149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112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112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243" w:hRule="auto"/>
          <w:jc w:val="center"/>
        </w:trPr>
        <w:tc>
          <w:tcPr>
            <w:tcW w:w="15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11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30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31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2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299" w:hRule="auto"/>
          <w:jc w:val="center"/>
        </w:trPr>
        <w:tc>
          <w:tcPr>
            <w:tcW w:w="15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11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35</w:t>
            </w:r>
          </w:p>
        </w:tc>
        <w:tc>
          <w:tcPr>
            <w:tcW w:w="130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31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14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112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1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Правец</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общината няма лица, които желаят да ползват социалните услуги, финансирани от държавния бюджет.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Правец,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Правец, от други общини 5.</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ЦНСТСХ</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Правец за последните 5 години</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През последните 5 години  (2017г.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2021</w:t>
      </w:r>
      <w:r>
        <w:rPr>
          <w:rFonts w:ascii="Times New Roman" w:hAnsi="Times New Roman" w:cs="Times New Roman" w:eastAsia="Times New Roman"/>
          <w:color w:val="auto"/>
          <w:spacing w:val="0"/>
          <w:position w:val="0"/>
          <w:sz w:val="24"/>
          <w:shd w:fill="auto" w:val="clear"/>
        </w:rPr>
        <w:t xml:space="preserve">г.) в демографските процеси в община Правец се наблюдава следното: спад в населението до 2019 г., през 2020 г. има значително покачване и след това отново спад. Тази тенденция е характерна и за почти цялата Софийска област.</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Раждаемостта варира през годините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през 2021 г.се отчита рязко увеличаване на стойностите, което е резултат от пандемичната обстановка. Въпреки това естественият прираст е отрицателен, тъй като смъртността през годините се покачва, особено през последната година. Това дава основание да се твърди, че е налице постепенно влошаване на показателите на възпроизводство на населението в общината. Основният демографски проблем в община Правец е увеличаващите се нива на смъртност.</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Механичното движение на населението, т.е. процесите на изселване и заселване, оказват влияние върху демографското, икономическото и социалното развитие на община Правец. Като цяло броят на заселените и броят на изселените варира и не се очертава ясна тенденция. След като първите три години заселените са по-малко от изселените, то през 2020г. значително нарастват заселванията в общината и това обръща знака на механичния прираст от отрицателен в положителен, който се е запазва и в последната година.</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Всички изброени дотук фактори са причина за спада в естествения прираст на населението и за задълбочаващата се демографска криза в рамките на общината. </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През последните години тенденциите в демографското развитие са следните:</w:t>
      </w:r>
    </w:p>
    <w:p>
      <w:pPr>
        <w:numPr>
          <w:ilvl w:val="0"/>
          <w:numId w:val="7357"/>
        </w:num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постепенно намаление и застаряване на населението;</w:t>
      </w:r>
    </w:p>
    <w:p>
      <w:pPr>
        <w:numPr>
          <w:ilvl w:val="0"/>
          <w:numId w:val="7357"/>
        </w:num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поддържане на отрицателен прираст;</w:t>
      </w:r>
    </w:p>
    <w:p>
      <w:pPr>
        <w:numPr>
          <w:ilvl w:val="0"/>
          <w:numId w:val="7357"/>
        </w:num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обръщане посоката на механичния прираст от отрицателен в положителен;</w:t>
      </w:r>
    </w:p>
    <w:p>
      <w:pPr>
        <w:numPr>
          <w:ilvl w:val="0"/>
          <w:numId w:val="7357"/>
        </w:num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запазване на контингентите в трудоспособна възраст.</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социалните услуги, функциониращи на територията на община Правец, няма незаети длъжности. Общината, в качеството си на доставчик на социалните услуги, осигурява непрекъснат процес на професионално и кариерно развитие на всички служители работещи в услугите, като се осигурява включване в различни тематични обучения според спецификата на всяка услуга, супервизии и др. Община Правец отчита известен дефицит на част от основните специалисти, предоставящи социални услуги и съответно желанието им да работят в сферата на социалните услуги. Предпочитани от тях са сферите, в които заплащането е по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добро, като здравеопазване и образование.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След извършения анализ и съпоставка на данните за брой на назначени служители и брой незаети длъжности към момента на извършването на анализа по утвърдените щатни разписания във всяка услуга, както и въз основа на определените минимални изисквания в стандартите за качество на социалните услуги, касаещи броя и квалификацията на необходимите служители, се налага изводът, че във всички услуги ще се наложи изменение на длъжностното щатно разписание, относно длъжностите, за да се изпълнят изискванията, заложени в стандартите за качество на НКСУ.</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7360"/>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САМОКОВ</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Самоков информацията за населението по настоящ адрес е получена от ДСП, РУО, РЗИ, НОИ, НСИ.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Самоков, към 31.12.2021 г. е 37 875 жители, от тях 6 699 деца до 18-годишна възраст. Общия брой на лицата с трайни увреждания е 4 696, от тях деца 230.</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Самоков са разкрити 6 социални услуги, същите се предоставят на територията на гр. Самоков, с изключение на ДСХ в с. Ковачевци. Общият капацитет на социалните услуги е за 360 потребители, в т.ч. 140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893"/>
        <w:gridCol w:w="1131"/>
        <w:gridCol w:w="1104"/>
        <w:gridCol w:w="1694"/>
        <w:gridCol w:w="1709"/>
        <w:gridCol w:w="1529"/>
      </w:tblGrid>
      <w:tr>
        <w:trPr>
          <w:trHeight w:val="269" w:hRule="auto"/>
          <w:jc w:val="center"/>
        </w:trPr>
        <w:tc>
          <w:tcPr>
            <w:tcW w:w="189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13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110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ЦСРИЛ</w:t>
            </w:r>
          </w:p>
        </w:tc>
        <w:tc>
          <w:tcPr>
            <w:tcW w:w="169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170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152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243" w:hRule="auto"/>
          <w:jc w:val="center"/>
        </w:trPr>
        <w:tc>
          <w:tcPr>
            <w:tcW w:w="189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13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10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69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0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2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590" w:hRule="auto"/>
          <w:jc w:val="center"/>
        </w:trPr>
        <w:tc>
          <w:tcPr>
            <w:tcW w:w="189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13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146</w:t>
            </w:r>
          </w:p>
        </w:tc>
        <w:tc>
          <w:tcPr>
            <w:tcW w:w="110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c>
          <w:tcPr>
            <w:tcW w:w="169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170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52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140</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Самоков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Самоков е 11.</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tbl>
      <w:tblPr/>
      <w:tblGrid>
        <w:gridCol w:w="4037"/>
        <w:gridCol w:w="5023"/>
      </w:tblGrid>
      <w:tr>
        <w:trPr>
          <w:trHeight w:val="1" w:hRule="atLeast"/>
          <w:jc w:val="left"/>
        </w:trPr>
        <w:tc>
          <w:tcPr>
            <w:tcW w:w="403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02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Самоков,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Самоков, от други общини е 25.</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ЦНСТДБУ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ДЦДМУ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Самоков за последните 5 години</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Самоков по данни на ГРАО към е 7 875 жители, като през последните години има висок отрицателен прираст. Данните за населението в общината показват, че то е застаряващо.</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Характерно за населението в община Самоков е големият брой градско население и значително малкият брой селско население. Голяма част от населението е концентрирано в град Самоков, където са ситуирани всички административни, здравни и социални институции.</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Външната миграция на населението от общината обхваща предимно лица в трудоспособна възраст, в повечето случаи със средна или висока степен на образование и квалификация, като на територията на общината остават най-вече хора в надтрудоспособна възраст и такива с ниска степен на образование.</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община Самоков във всички услуги, в голяма степен, са покрити нуждите от квалифициран персонал, необходим за предоставянето им. Назначени са необходимите основни специалисти, осъществяващи дейности по предоставяне на социални услуги, както и служители, пряко ангажирани с обслужването на потребителите.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Незаети места има за длъжността логопед както в ДЦДМУ, така и в ЦСРИ. В услугата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Асистентска подкрепа“ има необходимост от 4 бр. специалисти на длъжността специалист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социални дейности“. Най-голям брой незаети длъжности има в специализираните институции ДСХ, а именно - социален работник, трудотерапевт, медицинска сестра, санитар и служител по поддръжка.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Видно от данните е, че най-търсените специалисти са социален работник, медицинска сестра, педагог, логопед. По отношение на обслужващия персонал най-търсени са санитари. Предвид предстоящите промени в съществуващите социални услуги делегирани от държавата дейности ще се наложи промяна в щатните разписания, в зависимост от вида на услугата, която ще се предоставя, съгласно чл. 15 от ЗСУ и в зависимост от изискванията за брой, квалификация и състав на служителите, заложени в стандартите за качество по НКСУ.</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През последните няколко години община Самоков, в качеството си на доставчик на социални услуги работи активно за повишаване компетенциите на персонала. Провеждат се регулярни супервизии, което дава възможност за подкрепа и консултиране на специалистите. В по-голямата част от социалните услуги не се наблюдава текучество на персонала, което е предпоставка за последователност и стабилност при работата.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7394"/>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8"/>
          <w:shd w:fill="auto" w:val="clear"/>
        </w:rPr>
        <w:t xml:space="preserve"> </w:t>
      </w:r>
      <w:r>
        <w:rPr>
          <w:rFonts w:ascii="Times New Roman" w:hAnsi="Times New Roman" w:cs="Times New Roman" w:eastAsia="Times New Roman"/>
          <w:b/>
          <w:color w:val="003366"/>
          <w:spacing w:val="0"/>
          <w:position w:val="0"/>
          <w:sz w:val="24"/>
          <w:shd w:fill="auto" w:val="clear"/>
        </w:rPr>
        <w:t xml:space="preserve">ОБЩИНА СВОГЕ</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Своге информацията за населението по настоящ адрес е получена от НСИ, НОИ, РЗИ,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Своге 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ГРАО“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Своге.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Своге, към 31.12.2021 г. е 19 658 жители, от тях 2 307 деца до 18-годишна възраст. Общия брой на лицата с трайни увреждания е 2 428, от тях деца 38.</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Своге са разкрити 2 социални услуги, които се предоставят на територията на гр. Своге. Общият капацитет на социалните услуги е за 126 потребители, в т.ч. 86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752"/>
        <w:gridCol w:w="2684"/>
        <w:gridCol w:w="2624"/>
      </w:tblGrid>
      <w:tr>
        <w:trPr>
          <w:trHeight w:val="269" w:hRule="auto"/>
          <w:jc w:val="center"/>
        </w:trPr>
        <w:tc>
          <w:tcPr>
            <w:tcW w:w="375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68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262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243" w:hRule="auto"/>
          <w:jc w:val="center"/>
        </w:trPr>
        <w:tc>
          <w:tcPr>
            <w:tcW w:w="37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6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62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359" w:hRule="auto"/>
          <w:jc w:val="center"/>
        </w:trPr>
        <w:tc>
          <w:tcPr>
            <w:tcW w:w="37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6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c>
          <w:tcPr>
            <w:tcW w:w="262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86</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Своге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лица, желаещи да ползват социалните услуги, функциониращи на територията на община Своге.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Своге,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Своге, от други общини е 3.</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Своге за последните 5 години</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Демографската характеристика в община Своге разкрива най-голямо предизвикателство пред местното развитие през идващите години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ограничаване на крайно негативните тенденции за обезлюдяване и най-вече за намаляване на населението в трудоспособна възраст. Общината не прави изключение от характерните демографски тенденции за цялата страна, свързани с влошаваща св възрастова структура, отрицателен естествен и механичен прираст.</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Незаета длъжност има единствено в ЦОП в гр. Своге, а именно 1 щатна бройка за психолог. Предвид предстоящите промени в съществуващата социална услуга, делегирана от държавата дейност ще се наложи промяна в щатните разписания, в зависимост от изискванията за брой, квалификация и състав на служителите, заложени в стандартите за качество по НКСУ.</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7415"/>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СЛИВНИЦА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Сливница информацията за населението по настоящ адрес е получена от Общинска администрация Сливница, Регионалната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подпомагане”-София област (РДСП), териториална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Сливница,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 гр. Сливница, доставчици на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Сливница, към 31.12.2021 г. е 8 924 жители, от тях 1 094 деца до 18-годишна възраст. Общия брой на лицата с трайни увреждания е 985, от тях деца 25.</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Сливница са разкрити 3 социални услуги, които се предоставят на територията на гр. Сливница. Общият капацитет на социалните услуги е за 76 потребители, в т.ч. 31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223"/>
        <w:gridCol w:w="2307"/>
        <w:gridCol w:w="2182"/>
        <w:gridCol w:w="1348"/>
      </w:tblGrid>
      <w:tr>
        <w:trPr>
          <w:trHeight w:val="269" w:hRule="auto"/>
          <w:jc w:val="center"/>
        </w:trPr>
        <w:tc>
          <w:tcPr>
            <w:tcW w:w="322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30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218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ЦСРИДМ</w:t>
            </w:r>
          </w:p>
        </w:tc>
        <w:tc>
          <w:tcPr>
            <w:tcW w:w="134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243" w:hRule="auto"/>
          <w:jc w:val="center"/>
        </w:trPr>
        <w:tc>
          <w:tcPr>
            <w:tcW w:w="32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30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18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3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428" w:hRule="auto"/>
          <w:jc w:val="center"/>
        </w:trPr>
        <w:tc>
          <w:tcPr>
            <w:tcW w:w="32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30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218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34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31</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Сливница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община Сливница няма лица, желаещи да ползват социалните услуги, делегирани от държавата дейности, които функционират на нейната територия.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Сливница,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Сливница, от други общини е 13.</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ЦСРИДМ</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ДЦДМУ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Сливница за последните 5 години</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Демографското развитие за община Сливница не се различава от това за цялата страна. Тенденцията през последните 5 години е съотношението градско-селско население да се развива в полза на градското население. Въпреки това населението на общината е застаряващо в резултат на естествените процеси на раждаемост и смъртност. Лицата в трудоспособна възраст намаляват. Тази тенденция е крайно неблагоприятна и води до загуба на демографски и човешки потенциал. Застаряването на населението увеличава и необходимостта от развиване на все повече социални услуги за възрастните хора и хората с увреждания.</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настоящия момент всички щатни бройки по длъжностно разписание са заети. Има щатни бройки на 4 часов работен ден. Развитието на персонала е адаптивно, за да отговори на изискванията и нуждите на потребителите. На служителите се осигурява възможност за повишаване на информираност за промените в законодателството в областта на социалните услуги и придобиване на нови компетентности и усъвършенстване чрез провеждане на надграждащи обучения, осигурява се професионална и методическа подкрепа чрез заложени външни обучения и супервизии, осъществявани целогодишно.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екипите на двете социални услуги е ангажиран достатъчно на брой персонал, който осигурява качествено предоставяне на услугата с индивидуален подход към всеки потребител. Персоналът е организиран така, че да осигурява на ползвателите сигурност и безопасност, навременна и пълноценна грижа, време за общуване, дейности по интереси, които удовлетворяват индивидуалните потребности на всеки потребител.</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Асистентска подкрепа към настоящият момент е назначен социален работник и 10 социални асистента, които преминали през външна супервизия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индивидуална и групова.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След приемане на Националната карта на социалните услуги ще се наложи изменение на длъжностното щатно разписание в резултат на постигането на съответствие с изискванията за брой, квалификация и състав на служителите, заложени в стандартите за качество по НКСУ.</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7440"/>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8"/>
          <w:shd w:fill="auto" w:val="clear"/>
        </w:rPr>
        <w:t xml:space="preserve"> </w:t>
      </w:r>
      <w:r>
        <w:rPr>
          <w:rFonts w:ascii="Times New Roman" w:hAnsi="Times New Roman" w:cs="Times New Roman" w:eastAsia="Times New Roman"/>
          <w:b/>
          <w:color w:val="003366"/>
          <w:spacing w:val="0"/>
          <w:position w:val="0"/>
          <w:sz w:val="24"/>
          <w:shd w:fill="auto" w:val="clear"/>
        </w:rPr>
        <w:t xml:space="preserve">ОБЩИНА ЧАВДАР</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Чавдар информацията за населението по настоящ адрес е получена от Служба ГРАО към ОА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Чавдар,  Дирекция “Социално подпомагане”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Пирдоп,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 гр. Пирдоп.</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Чавдар, към 31.12.2021 г. е 1 171 жители, от тях 219 деца до 18-годишна възраст. Общия брой на лицата с трайни увреждания е 108, от тях деца 6.</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Чавдар функционира единствено социалната услуга Асистентска подкрепа, същата е с капацитет 4 места.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7181"/>
        <w:gridCol w:w="1879"/>
      </w:tblGrid>
      <w:tr>
        <w:trPr>
          <w:trHeight w:val="269" w:hRule="auto"/>
          <w:jc w:val="center"/>
        </w:trPr>
        <w:tc>
          <w:tcPr>
            <w:tcW w:w="718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hanging="108"/>
              <w:jc w:val="both"/>
              <w:rPr>
                <w:rFonts w:ascii="Calibri" w:hAnsi="Calibri" w:cs="Calibri" w:eastAsia="Calibri"/>
                <w:color w:val="auto"/>
                <w:spacing w:val="0"/>
                <w:position w:val="0"/>
                <w:sz w:val="22"/>
                <w:shd w:fill="auto" w:val="clear"/>
              </w:rPr>
            </w:pPr>
          </w:p>
        </w:tc>
        <w:tc>
          <w:tcPr>
            <w:tcW w:w="187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243" w:hRule="auto"/>
          <w:jc w:val="center"/>
        </w:trPr>
        <w:tc>
          <w:tcPr>
            <w:tcW w:w="718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87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350" w:hRule="auto"/>
          <w:jc w:val="center"/>
        </w:trPr>
        <w:tc>
          <w:tcPr>
            <w:tcW w:w="718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87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Чавдар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община Чавдар няма лица, желаещи да ползват услугата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Чавдар,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лица от други общини, които ползват социални услуги на територията на община Чавдар.</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Чавдар за последните 5 години</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Тъй като общината е съставена само от едно населено място, а именно общинският център с. Чавдар, цялото население е концентрирано в селото.</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Столицата е определяща за демографските процеси, които протичат в района, тъй като голяма част от населението в трудоспособна възраст е привлечено в столичния град поради по-развитите социални, образователни, здравни и трудови възможности. </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Гъстотата на населението е основен показател, който отразява демографската ситуация. Като цяло средната гъстота на населението за София област е по-ниска от средната за страната, като това се дължи и до голяма степен на София град и неговото влияние. Наблюдава се тенденция за намаляване на жителите на всички териториални нива и се отчита спад на показателя за гъстота на населението - както на областно ниво, така и за община Чавдар. Тревожните стойности за броя на живородените деца, отчетени на база 5-годишен период, както и отчетеното намаление броя на жителите, предопределят негативна демографска ситуация на територията на общината.</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 периода 2017-2021 г. броят на умиранията в община Чавдар варира между 28 през 2017 г., когато е отчетена най-ниската стойност за наблюдавания период, и 36 през 2019 г., която се явява най-неблагоприятна като стойност.</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изследвания период 2017-2021 г. механичният прираст на населението се характеризира със сравнително благоприятни стойности. Отчетените стойности на показателя за 2018 г. са отрицателни, като с най-неблагоприятна стойност се отличава 2018 г., когато механичният прираст е в порядъка на - 4 души. През годините се забелязва, че броят на заселените средно е 58 души, при 29 изселени, като за последната година се забелязва тенденция за положителен механичен прираст, което е благоприятно за развитието на община Чавдар.</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 община Чавдар към момента има 1 служител- гл. специалист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ГРАО“, който изпълнява дейностите по ръководство и управление на социалните услуги. За функционирането на Асистентската подкрепа са назначени 2 бр. асистенти. Няма незаети длъжности за този вид дейност. На този етап общината не предвижда разкриване на допълнителни бройки.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7459"/>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ЧЕЛОПЕЧ</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По данни на община Челопеч информацията за населението по настоящ адрес е получена от Дирекция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Бюро по труда”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гр. Пирдоп, Дирекция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Социално подпомагане”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гр. Пирдоп, Отдел ГРАО към Община Челопеч.</w:t>
      </w:r>
    </w:p>
    <w:p>
      <w:pPr>
        <w:spacing w:before="0" w:after="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Общият брой на населението на община Челопеч, към 31.12.2021 г. е 1 485 жители, от тях 251 деца до 18-годишна възраст. Общия брой на лицата с трайни увреждания е 123, от тях деца 3.</w:t>
      </w:r>
    </w:p>
    <w:p>
      <w:pPr>
        <w:spacing w:before="0" w:after="0" w:line="240"/>
        <w:ind w:right="0" w:left="0" w:firstLine="0"/>
        <w:jc w:val="both"/>
        <w:rPr>
          <w:rFonts w:ascii="Times New Roman" w:hAnsi="Times New Roman" w:cs="Times New Roman" w:eastAsia="Times New Roman"/>
          <w:color w:val="auto"/>
          <w:spacing w:val="0"/>
          <w:position w:val="0"/>
          <w:sz w:val="24"/>
          <w:shd w:fill="FFFFFF"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Челопеч функционира единствено социалната услуга Асистентска подкрепа, същата е с капацитет 4 места.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7181"/>
        <w:gridCol w:w="1879"/>
      </w:tblGrid>
      <w:tr>
        <w:trPr>
          <w:trHeight w:val="269" w:hRule="auto"/>
          <w:jc w:val="center"/>
        </w:trPr>
        <w:tc>
          <w:tcPr>
            <w:tcW w:w="718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hanging="108"/>
              <w:jc w:val="both"/>
              <w:rPr>
                <w:rFonts w:ascii="Calibri" w:hAnsi="Calibri" w:cs="Calibri" w:eastAsia="Calibri"/>
                <w:color w:val="auto"/>
                <w:spacing w:val="0"/>
                <w:position w:val="0"/>
                <w:sz w:val="22"/>
                <w:shd w:fill="auto" w:val="clear"/>
              </w:rPr>
            </w:pPr>
          </w:p>
        </w:tc>
        <w:tc>
          <w:tcPr>
            <w:tcW w:w="187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243" w:hRule="auto"/>
          <w:jc w:val="center"/>
        </w:trPr>
        <w:tc>
          <w:tcPr>
            <w:tcW w:w="718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87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350" w:hRule="auto"/>
          <w:jc w:val="center"/>
        </w:trPr>
        <w:tc>
          <w:tcPr>
            <w:tcW w:w="718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87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Челопеч</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община Челопеч няма лица, желаещи да ползват услугата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Челопеч,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лица от други общини, които ползват социални услуги на територията на община Челопеч.</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Челопеч за последните 5 години</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През периода 2017-2021 г. е налице устойчива тенденция на намаляване на броя на ражданията в общината, което въпреки тенденцията на намаляване на броя на умиранията през последните 3 години ще доведе до влошаване на естествения прираст на населението. Основните демографски характеристики, които определят проблемите и възможностите за развитие на човешкия капитал в общината са: образование, икономическа активност и възрастова структура. Подробен масив от данни по отношение на тези индикатори се събират в рамките на преброяване на населението проведено от НСИ през 2021 г.</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Възрастовата структура на населението в община Челопеч е близка до разпределението средно за страната и за област Софийска, въпреки отклоненията в конкретни възрастови групи. Делът на населението до 30 годишна възраст е по-нисък от този на национално ниво с едва 2 процента, като респективно делът на населението в по-високите възрастови групи 65+ надвишава този на национално ниво със същия порядък.</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анализа на социо</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демографската и икономическа ситуация на община Челопеч се открояват някои основни фактори, които пораждат риск за различни групи от населението и формират рисковите групи с необходимост от социално подпомагане и услуги. Тези фактори се формират вследствие на:</w:t>
      </w:r>
    </w:p>
    <w:p>
      <w:pPr>
        <w:numPr>
          <w:ilvl w:val="0"/>
          <w:numId w:val="7476"/>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възрастни хора с увреждания, нуждаещи се от подкрепа в ежедневието и хора в пенсионна възраст; </w:t>
      </w:r>
    </w:p>
    <w:p>
      <w:pPr>
        <w:numPr>
          <w:ilvl w:val="0"/>
          <w:numId w:val="7476"/>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застаряващо население и население, с ограничен достъп до здравна грижа и услуги;</w:t>
      </w:r>
    </w:p>
    <w:p>
      <w:pPr>
        <w:numPr>
          <w:ilvl w:val="0"/>
          <w:numId w:val="7476"/>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пълно или непълно семейство, многодетни семейства, здравословни и образователни проблеми в семейството;</w:t>
      </w:r>
    </w:p>
    <w:p>
      <w:pPr>
        <w:numPr>
          <w:ilvl w:val="0"/>
          <w:numId w:val="7476"/>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ниско образование /включително и неграмотност/, липса на професионална квалификация, които водят до неравностойна позиция на пазара на труда, безработица, ограничен достъп до заетост и социална изолация;</w:t>
      </w:r>
    </w:p>
    <w:p>
      <w:pPr>
        <w:numPr>
          <w:ilvl w:val="0"/>
          <w:numId w:val="7476"/>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социално изключване поради принадлежност към уязвими групи;</w:t>
      </w:r>
    </w:p>
    <w:p>
      <w:pPr>
        <w:numPr>
          <w:ilvl w:val="0"/>
          <w:numId w:val="7476"/>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отглеждане в семейства, в които децата рискуват да повторят социалния модел на родителите си.</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община Челопеч към момента няма незаети длъжности. На този етап общината не предвижда разкриване на допълнителни бройки.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7478"/>
        </w:numPr>
        <w:tabs>
          <w:tab w:val="left" w:pos="718" w:leader="none"/>
        </w:tabs>
        <w:spacing w:before="0" w:after="0" w:line="240"/>
        <w:ind w:right="0" w:left="718"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АНАЛИЗ НА ПОТРЕБНОСТИТЕ В СОФИЯ </w:t>
      </w:r>
      <w:r>
        <w:rPr>
          <w:rFonts w:ascii="Times New Roman" w:hAnsi="Times New Roman" w:cs="Times New Roman" w:eastAsia="Times New Roman"/>
          <w:b/>
          <w:color w:val="003366"/>
          <w:spacing w:val="0"/>
          <w:position w:val="0"/>
          <w:sz w:val="24"/>
          <w:shd w:fill="auto" w:val="clear"/>
        </w:rPr>
        <w:t xml:space="preserve">–</w:t>
      </w:r>
      <w:r>
        <w:rPr>
          <w:rFonts w:ascii="Times New Roman" w:hAnsi="Times New Roman" w:cs="Times New Roman" w:eastAsia="Times New Roman"/>
          <w:b/>
          <w:color w:val="003366"/>
          <w:spacing w:val="0"/>
          <w:position w:val="0"/>
          <w:sz w:val="24"/>
          <w:shd w:fill="auto" w:val="clear"/>
        </w:rPr>
        <w:t xml:space="preserve"> </w:t>
      </w:r>
      <w:r>
        <w:rPr>
          <w:rFonts w:ascii="Times New Roman" w:hAnsi="Times New Roman" w:cs="Times New Roman" w:eastAsia="Times New Roman"/>
          <w:b/>
          <w:color w:val="003366"/>
          <w:spacing w:val="0"/>
          <w:position w:val="0"/>
          <w:sz w:val="24"/>
          <w:shd w:fill="auto" w:val="clear"/>
        </w:rPr>
        <w:t xml:space="preserve">ОБЛАСТ (обобщено)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обобщени за област София-област по общини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общините от област София област информацията за населението по критериите съгласно Наредбата за планиране на социалните услуги е получена от Териториално поделение на НОИ , информационна система ГРАО на общините, ДСП, ДБТ, РЗИ, кметове и кметски наместници, доставчици на социални услуги и др.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област София-област, към 31.12.2021 г. е 243 029 жители, от тях 39 859 деца до 18-годишна възраст. Общия брой на лицата с трайни увреждания е 25 902, от тях деца 915.</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областта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брои на социалните услуги на територията на област София област е 69 с 2040 потребители. Броят на социалните услуги за пълнолетни лица е 42, с 1356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за деца са 27 със 684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графиките е видно, че на територията на областта преобладават консултативните услуги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ДЦ, ЦСРИ, ЦОП, ЦРДУ)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26 </w:t>
      </w:r>
      <w:r>
        <w:rPr>
          <w:rFonts w:ascii="Times New Roman" w:hAnsi="Times New Roman" w:cs="Times New Roman" w:eastAsia="Times New Roman"/>
          <w:color w:val="auto"/>
          <w:spacing w:val="0"/>
          <w:position w:val="0"/>
          <w:sz w:val="24"/>
          <w:shd w:fill="auto" w:val="clear"/>
        </w:rPr>
        <w:t xml:space="preserve">услуги за 811 потребители, услугите, които се предоставят в домашна среда (АП) са с общ брой 21 за 771 потребители, услугите, които се предоставят в специализирана институция (ДСХ) са 4 на брой за 228 потребители и услугите за резидентна грижа (ЦНСТ, КЦ, ПЖ, НЖ)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18 </w:t>
      </w:r>
      <w:r>
        <w:rPr>
          <w:rFonts w:ascii="Times New Roman" w:hAnsi="Times New Roman" w:cs="Times New Roman" w:eastAsia="Times New Roman"/>
          <w:color w:val="auto"/>
          <w:spacing w:val="0"/>
          <w:position w:val="0"/>
          <w:sz w:val="24"/>
          <w:shd w:fill="auto" w:val="clear"/>
        </w:rPr>
        <w:t xml:space="preserve">на брой за 230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област София област</w:t>
      </w:r>
    </w:p>
    <w:tbl>
      <w:tblPr/>
      <w:tblGrid>
        <w:gridCol w:w="4037"/>
        <w:gridCol w:w="5023"/>
      </w:tblGrid>
      <w:tr>
        <w:trPr>
          <w:trHeight w:val="1" w:hRule="atLeast"/>
          <w:jc w:val="left"/>
        </w:trPr>
        <w:tc>
          <w:tcPr>
            <w:tcW w:w="403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02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желаещи да ползват СУ</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Асистентска подкрепа</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57</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ЦНСТПЛД</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Общо</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83</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Общо 83 лица са включени в списъците на чакащите за ползване на социални услуги в териториалния обхват на област София. Най-голям е броят на лицата, желаещи да ползват социалната услуга ЦНСТПЛПР.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област София област, различна от  общината по настоящ адрес</w:t>
      </w: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635"/>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635"/>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и интегрирани здравно-социални услуги на територията на област София област, различна от общината по настоящ адрес е 306. Най-голям е техният брой в социалните услуги на територията на общините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Долна Баня, Костинброд и Пирдоп. В Долна Баня, където  броят на ползващите услугите е най-голям, са ситуирани най-много на брой социални услуги за резидентна грижа. Социалната услуга ЦОП в гр. Пирдоп обслужва всички седем общини в района на Средногорието, поради която причина и броят на лицата от други общи, които го ползват, е по-голям.</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Впечатление прави, че потребителите на услугите в по-голямата част са от общините на територията на областта.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Единствено община Златица не предоставя точни данни относно това какъв е броят на потребителите от други общини и кои услуги ползват те.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графиката е представено сравнение между функциониращите към момента социални услуги, финансирани от държавния бюджет, съотнесени към социалните услуги по чл. 15 от ЗСУ, максималния брой потребители, съгласно критериите по Наредбата за планиране на социалните услуги и поетите ангажименти от общините в областта.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област София област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Анализа на данните на демографското развитие в област София за периода 2021г.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2017 </w:t>
      </w:r>
      <w:r>
        <w:rPr>
          <w:rFonts w:ascii="Times New Roman" w:hAnsi="Times New Roman" w:cs="Times New Roman" w:eastAsia="Times New Roman"/>
          <w:color w:val="auto"/>
          <w:spacing w:val="0"/>
          <w:position w:val="0"/>
          <w:sz w:val="24"/>
          <w:shd w:fill="auto" w:val="clear"/>
        </w:rPr>
        <w:t xml:space="preserve">г. показва намаление на общия брой на населението с тенденция към застаряване, ниска раждаемост, висока смъртност и отрицателен естествен прираст.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община Антон се забелязва трайна тенденция за запазване броя на населението в общината. </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общините Божурище, Елин Пелин и Костинброд се отчита увеличаване броя на населението, предимно дължащо се на повишаване равнището на раждаемостта, както и повишаване на механичния прираст, поради близостта им до столицата.</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на територията на област София област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представените данни става ясно, че необходимите служители за функционирането на съществуващите социални услуги в област София са достатъчно, с малки изключения на незаети длъжности в някои от общините: психолог, медицинска сестра, логопед, асистент и санитар. В някои от общините се налага назначаване на специалисти като външна услуга поради липсата на такива кадри на пазара на труда. Видно е, че общините, като доставчици на социалните услуги, подкрепят служителите чрез провеждане на поддържащи обучения, супервизии и работни срещи, насочени към повишаване на професионалните умения и подобряване качеството на грижа спрямо потребителите.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Предвижда се увеличаване на броя на специалистите в социалните и интегрираните здравно-социални услуги, с цел осъществяване на съответствие със стандартите за качество, съгласно Наредбата за качество на социалните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София област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са ключов фактор за ефективно социално включване и участие в живота на обществото на всички групи лица, които имат необходимост от подкрепа. Въз основа на направения анализ на състоянието на социалните услуги на територията на областта и очерталите се тенденции, могат да се направят следните изводи: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има голям брой социални услуги за резидентна грижа за пълнолетни лица с увреждания, но броят им е недостатъчен за задоволяване на потребностите на жителите на областта;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Общински съвет - Златица с Решение на сесия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485, </w:t>
      </w:r>
      <w:r>
        <w:rPr>
          <w:rFonts w:ascii="Times New Roman" w:hAnsi="Times New Roman" w:cs="Times New Roman" w:eastAsia="Times New Roman"/>
          <w:color w:val="auto"/>
          <w:spacing w:val="0"/>
          <w:position w:val="0"/>
          <w:sz w:val="24"/>
          <w:shd w:fill="auto" w:val="clear"/>
        </w:rPr>
        <w:t xml:space="preserve">Препис-извлечение по Протокол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53 </w:t>
      </w:r>
      <w:r>
        <w:rPr>
          <w:rFonts w:ascii="Times New Roman" w:hAnsi="Times New Roman" w:cs="Times New Roman" w:eastAsia="Times New Roman"/>
          <w:color w:val="auto"/>
          <w:spacing w:val="0"/>
          <w:position w:val="0"/>
          <w:sz w:val="24"/>
          <w:shd w:fill="auto" w:val="clear"/>
        </w:rPr>
        <w:t xml:space="preserve">от проведено заседание на 24.04.2023 г., е приел - Анализа на потребностите от социални услуги на общинско и областно ниво и Предложение за планиране на социалните услуги на общинско и областно ниво, които се финансират изцяло или частично от държавния бюджет за община Златица, като не дава съгласие за разкриване на социалната услуга за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Резидентна грижа за пълнолетни лица с деменция“. Социалната услуга е заложена в Споразумението между общините в Софийска област, поетия ангажимент на община Златица за разкриването й е с капацитет 15 места, през 2025 г., относно потребността й на областно ниво. Предвид взетото решение на Общински съвет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Златица, че не дава съгласие за разкриване на социалната услуга за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Резидентна грижа за пълнолетни лица с деменция“, същата следва да отпадне.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Споразумението между всички общини в Софийска област на областно ниво са поети ангажименти и планирани услуги за потребността от резидентната грижа за пълнолетни лица с деменция, от следните общини: Община Ботевград, с капацитет 20 места, считано от 2025 г.; Община Костинброд, с капацитет 20 места, считано от 2025 г.; Община Самоков, с капацитет 15 места, считано от 2025 г.;</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Ботевград  предвижда трансформиране на едната услуга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Резидентна грижа за деца с трайни увреждания ", с капацитет 14 бр. в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Резидентна грижа за пълнолетни лица с интелектуални затруднения" с капацитет 14 бр.;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Правец предвижда трансформиране на социална услуга "Резидентна грижа за деца с трайни увреждания", с капаците 14 в услуга "Резидентна грижа за лица с интелектуални затруднения", с капацитет 14 бр.;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Пирдоп е предвидила разкриване на  услуга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Резидентна грижа за пълнолетни лица с физически увреждания“ с капацитет 30 бр. Същата не е включена в Областното споразумение, но е  включена в Предложението след общественото обсъждане;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няма интегрирани здравно-социални услуги за деца и пълнолетни лица, независимо от отчетената потребност;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Осигуряването на равен достъп до услуги на всички нуждаещи се чрез планиране на социални услуги, съгласно реалните потребности и нужди и равномерно разпределение на социалните услуги на територията на област София-област са съществена част от политиките на областната и общинските администрации.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7503"/>
        </w:numPr>
        <w:tabs>
          <w:tab w:val="left" w:pos="718" w:leader="none"/>
        </w:tabs>
        <w:spacing w:before="0" w:after="0" w:line="240"/>
        <w:ind w:right="0" w:left="718" w:hanging="576"/>
        <w:jc w:val="both"/>
        <w:rPr>
          <w:rFonts w:ascii="Times New Roman" w:hAnsi="Times New Roman" w:cs="Times New Roman" w:eastAsia="Times New Roman"/>
          <w:b/>
          <w:color w:val="003366"/>
          <w:spacing w:val="0"/>
          <w:position w:val="0"/>
          <w:sz w:val="28"/>
          <w:shd w:fill="auto" w:val="clear"/>
        </w:rPr>
      </w:pPr>
      <w:r>
        <w:rPr>
          <w:rFonts w:ascii="Times New Roman" w:hAnsi="Times New Roman" w:cs="Times New Roman" w:eastAsia="Times New Roman"/>
          <w:b/>
          <w:color w:val="003366"/>
          <w:spacing w:val="0"/>
          <w:position w:val="0"/>
          <w:sz w:val="28"/>
          <w:shd w:fill="auto" w:val="clear"/>
        </w:rPr>
        <w:t xml:space="preserve">ОБЛАСТ БЛАГОЕВГРАД</w:t>
      </w:r>
    </w:p>
    <w:p>
      <w:pPr>
        <w:keepNext w:val="true"/>
        <w:numPr>
          <w:ilvl w:val="0"/>
          <w:numId w:val="7503"/>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БАНСКО </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Банско информацията за населението по настоящ адрес е получена от информационна система ГРАО, НСИ и от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Банско, към 31.12.2021 г. е 13 453 жители, от тях 1 928 деца до 18-годишна възраст (14,3%). Общия брой на лицата с трайни увреждания е 849, от тях деца 29 (3,4%).</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Банско са разкрити 13 социални услуги. Общият капацитет на социалните услуги е 225 потребители, в т.ч. 49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991"/>
        <w:gridCol w:w="1784"/>
        <w:gridCol w:w="1386"/>
        <w:gridCol w:w="1487"/>
        <w:gridCol w:w="1137"/>
        <w:gridCol w:w="1275"/>
      </w:tblGrid>
      <w:tr>
        <w:trPr>
          <w:trHeight w:val="1" w:hRule="atLeast"/>
          <w:jc w:val="left"/>
        </w:trPr>
        <w:tc>
          <w:tcPr>
            <w:tcW w:w="199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78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ДЦДМУ</w:t>
            </w:r>
          </w:p>
        </w:tc>
        <w:tc>
          <w:tcPr>
            <w:tcW w:w="138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ДЦПЛУ</w:t>
            </w:r>
          </w:p>
        </w:tc>
        <w:tc>
          <w:tcPr>
            <w:tcW w:w="148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ДЦПЛУСГ</w:t>
            </w:r>
          </w:p>
        </w:tc>
        <w:tc>
          <w:tcPr>
            <w:tcW w:w="113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ДЦСХ</w:t>
            </w:r>
          </w:p>
        </w:tc>
        <w:tc>
          <w:tcPr>
            <w:tcW w:w="127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ЦСРИПЛ</w:t>
            </w:r>
          </w:p>
        </w:tc>
      </w:tr>
      <w:tr>
        <w:trPr>
          <w:trHeight w:val="1" w:hRule="atLeast"/>
          <w:jc w:val="left"/>
        </w:trPr>
        <w:tc>
          <w:tcPr>
            <w:tcW w:w="19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7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3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127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9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7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3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4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1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c>
          <w:tcPr>
            <w:tcW w:w="127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035"/>
        <w:gridCol w:w="2780"/>
        <w:gridCol w:w="2145"/>
        <w:gridCol w:w="1100"/>
      </w:tblGrid>
      <w:tr>
        <w:trPr>
          <w:trHeight w:val="1" w:hRule="atLeast"/>
          <w:jc w:val="left"/>
        </w:trPr>
        <w:tc>
          <w:tcPr>
            <w:tcW w:w="303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78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ЦНСТПЛД</w:t>
            </w:r>
          </w:p>
        </w:tc>
        <w:tc>
          <w:tcPr>
            <w:tcW w:w="214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ЗЖЛУИ</w:t>
            </w:r>
          </w:p>
        </w:tc>
        <w:tc>
          <w:tcPr>
            <w:tcW w:w="11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left"/>
        </w:trPr>
        <w:tc>
          <w:tcPr>
            <w:tcW w:w="303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7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1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11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03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7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21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31</w:t>
            </w:r>
          </w:p>
        </w:tc>
        <w:tc>
          <w:tcPr>
            <w:tcW w:w="11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49</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Банско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от справката предоставена от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Разлог, общ брой чакащи за потребители на социални услуги, функциониращи на територията на община Банско е 57 лица, най</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много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28 </w:t>
      </w:r>
      <w:r>
        <w:rPr>
          <w:rFonts w:ascii="Times New Roman" w:hAnsi="Times New Roman" w:cs="Times New Roman" w:eastAsia="Times New Roman"/>
          <w:color w:val="auto"/>
          <w:spacing w:val="0"/>
          <w:position w:val="0"/>
          <w:sz w:val="24"/>
          <w:shd w:fill="auto" w:val="clear"/>
        </w:rPr>
        <w:t xml:space="preserve">са за резидентни услуги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Защитени жилища за лица с интелектуални затруднения“. 20 лица са чакащите за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Център за настаняване от семеен тип за пълнолетни лица с деменция“. 9 лица са чакащите за специализирана социална услуга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Асистентска подкрепа“. </w:t>
      </w: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ЦНСТПЛД</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ЗЖЛУИ</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28</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Банско,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Банско, от други общини е 5</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Банско за последните 5 години</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Въпреки някои положителни тенденции в демографското развитие на община Банско,  населението има общи с тези за страната белези на влошаване на възрастовата структура, изразяващо се в намаляване на младите хора, основно дължащо се на миграция във връзка с трудова реализация, както и увеличение на възрастното население, към което следва да бъдат насочени голяма част от социалните мерки. Това е предпоставка за планиране и предприемане на мерки, насочени към населението в трудоспособна възраст и неговото задържане или привличане за оставане в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Банско като доставчик на социалните услуги е осигурила необходимия брой квалифицирани служители, който съответстват на изискванията на програмата за качеството на социалните услуги. За служителите е осигурено включването им във вътрешни и външни обучения, супервизии, наставничество и др.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7548"/>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8"/>
          <w:shd w:fill="auto" w:val="clear"/>
        </w:rPr>
        <w:t xml:space="preserve"> </w:t>
      </w:r>
      <w:r>
        <w:rPr>
          <w:rFonts w:ascii="Times New Roman" w:hAnsi="Times New Roman" w:cs="Times New Roman" w:eastAsia="Times New Roman"/>
          <w:b/>
          <w:color w:val="003366"/>
          <w:spacing w:val="0"/>
          <w:position w:val="0"/>
          <w:sz w:val="24"/>
          <w:shd w:fill="auto" w:val="clear"/>
        </w:rPr>
        <w:t xml:space="preserve">ОБЩИНА БЕЛИЦА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Белица информацията за населението по настоящ адрес е получена от НСИ,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 и ГРАО.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Белица към 31.12.2021 г. е 9 877 жители, от тях 1945 деца до 18-годишна възраст (19,7%). Общия брой на лицата с трайни увреждания е 771, от тях деца 24 (3,11%).</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Белица са разкрити 4 социални услуги, Общият капацитет на социалните услуги е за 111 потребители, в т.ч. 41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821"/>
        <w:gridCol w:w="2049"/>
        <w:gridCol w:w="1662"/>
        <w:gridCol w:w="1435"/>
        <w:gridCol w:w="1093"/>
      </w:tblGrid>
      <w:tr>
        <w:trPr>
          <w:trHeight w:val="1" w:hRule="atLeast"/>
          <w:jc w:val="left"/>
        </w:trPr>
        <w:tc>
          <w:tcPr>
            <w:tcW w:w="282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62" w:firstLine="0"/>
              <w:jc w:val="both"/>
              <w:rPr>
                <w:rFonts w:ascii="Calibri" w:hAnsi="Calibri" w:cs="Calibri" w:eastAsia="Calibri"/>
                <w:color w:val="auto"/>
                <w:spacing w:val="0"/>
                <w:position w:val="0"/>
                <w:sz w:val="22"/>
                <w:shd w:fill="auto" w:val="clear"/>
              </w:rPr>
            </w:pPr>
          </w:p>
        </w:tc>
        <w:tc>
          <w:tcPr>
            <w:tcW w:w="204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62"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 </w:t>
            </w:r>
          </w:p>
        </w:tc>
        <w:tc>
          <w:tcPr>
            <w:tcW w:w="166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62"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w:t>
            </w:r>
          </w:p>
        </w:tc>
        <w:tc>
          <w:tcPr>
            <w:tcW w:w="143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62"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109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62"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28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62"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04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62"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6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62"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62"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09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62"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8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62"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04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62"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c>
          <w:tcPr>
            <w:tcW w:w="16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62"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4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62"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c>
          <w:tcPr>
            <w:tcW w:w="109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62"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41</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Белица.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Белица е 9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Белица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социалните услуги на територията на община Белица няма потребители от други общини.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Белица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Данните на общинско ниво за основните демографски показатели - раждаемост, смъртност и естествен прираст, показват неблагоприятни тенденции за естествено възпроизводство на населението през анализирания пет годишен период. </w:t>
      </w:r>
      <w:r>
        <w:rPr>
          <w:rFonts w:ascii="Times New Roman" w:hAnsi="Times New Roman" w:cs="Times New Roman" w:eastAsia="Times New Roman"/>
          <w:color w:val="000000"/>
          <w:spacing w:val="0"/>
          <w:position w:val="0"/>
          <w:sz w:val="24"/>
          <w:shd w:fill="auto" w:val="clear"/>
        </w:rPr>
        <w:t xml:space="preserve">Естественият прираст на населението е отрицателна величина в резултат на намаляване броя на живо родените и увеличаване броя на починалите лица.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Служителите, осъществяващи дейности по предоставяне на социални услуги на територията на община Белица са 10 бр.: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управленски кадри 1;</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налични служители 10;</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осъществяващи дейности по предоставяне на социални услуги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10, </w:t>
      </w:r>
      <w:r>
        <w:rPr>
          <w:rFonts w:ascii="Times New Roman" w:hAnsi="Times New Roman" w:cs="Times New Roman" w:eastAsia="Times New Roman"/>
          <w:color w:val="auto"/>
          <w:spacing w:val="0"/>
          <w:position w:val="0"/>
          <w:sz w:val="24"/>
          <w:shd w:fill="auto" w:val="clear"/>
        </w:rPr>
        <w:t xml:space="preserve">от които основни специалисти 10, препоръчителни специалисти- няма;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Пряко ангажирани с обслужването на потребителите са 7 бр. Подпомагащи служители са трима. Информацията е осигурена от утвърдените длъжностни щатни разписания във всяка социална услуга.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Общината, в качеството ѝ на доставчик на социални услуги, осигурява професионално и кариерно развитие на служителите, работещи в услугите.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7568"/>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БЛАГОЕВГРАД</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Благоевград информацията за населението по настоящ адрес е получена от НСИ и информационна система ГРАО. Общинска администрация,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Благоевград към 31.12.2021 г. е 67 810 жители, от тях 11 058 деца до 18-годишна възраст (16,3%). Общия брой на лицата с трайни увреждания е 5700, от тях деца 257 (4,5%).</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Благоевград са разкрити 17 социални услуги. Общият капацитет на социалните услуги е 515 потребители, в т.ч. 152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942"/>
        <w:gridCol w:w="1258"/>
        <w:gridCol w:w="1542"/>
        <w:gridCol w:w="694"/>
        <w:gridCol w:w="843"/>
        <w:gridCol w:w="1165"/>
        <w:gridCol w:w="1616"/>
      </w:tblGrid>
      <w:tr>
        <w:trPr>
          <w:trHeight w:val="1" w:hRule="atLeast"/>
          <w:jc w:val="left"/>
        </w:trPr>
        <w:tc>
          <w:tcPr>
            <w:tcW w:w="194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202" w:firstLine="0"/>
              <w:jc w:val="both"/>
              <w:rPr>
                <w:rFonts w:ascii="Calibri" w:hAnsi="Calibri" w:cs="Calibri" w:eastAsia="Calibri"/>
                <w:color w:val="auto"/>
                <w:spacing w:val="0"/>
                <w:position w:val="0"/>
                <w:sz w:val="22"/>
                <w:shd w:fill="auto" w:val="clear"/>
              </w:rPr>
            </w:pPr>
          </w:p>
        </w:tc>
        <w:tc>
          <w:tcPr>
            <w:tcW w:w="125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154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69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ПЖ</w:t>
            </w:r>
          </w:p>
        </w:tc>
        <w:tc>
          <w:tcPr>
            <w:tcW w:w="84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116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ЦСРИД</w:t>
            </w:r>
          </w:p>
        </w:tc>
        <w:tc>
          <w:tcPr>
            <w:tcW w:w="161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r>
      <w:tr>
        <w:trPr>
          <w:trHeight w:val="1" w:hRule="atLeast"/>
          <w:jc w:val="left"/>
        </w:trPr>
        <w:tc>
          <w:tcPr>
            <w:tcW w:w="194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25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6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6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6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194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25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36</w:t>
            </w:r>
          </w:p>
        </w:tc>
        <w:tc>
          <w:tcPr>
            <w:tcW w:w="15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6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8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c>
          <w:tcPr>
            <w:tcW w:w="116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6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42</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807"/>
        <w:gridCol w:w="1122"/>
        <w:gridCol w:w="1017"/>
        <w:gridCol w:w="1033"/>
        <w:gridCol w:w="1223"/>
        <w:gridCol w:w="1133"/>
        <w:gridCol w:w="884"/>
        <w:gridCol w:w="841"/>
      </w:tblGrid>
      <w:tr>
        <w:trPr>
          <w:trHeight w:val="1" w:hRule="atLeast"/>
          <w:jc w:val="left"/>
        </w:trPr>
        <w:tc>
          <w:tcPr>
            <w:tcW w:w="180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202" w:firstLine="0"/>
              <w:jc w:val="both"/>
              <w:rPr>
                <w:rFonts w:ascii="Calibri" w:hAnsi="Calibri" w:cs="Calibri" w:eastAsia="Calibri"/>
                <w:color w:val="auto"/>
                <w:spacing w:val="0"/>
                <w:position w:val="0"/>
                <w:sz w:val="22"/>
                <w:shd w:fill="auto" w:val="clear"/>
              </w:rPr>
            </w:pPr>
          </w:p>
        </w:tc>
        <w:tc>
          <w:tcPr>
            <w:tcW w:w="112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101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ДЦСХ</w:t>
            </w:r>
          </w:p>
        </w:tc>
        <w:tc>
          <w:tcPr>
            <w:tcW w:w="103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ЦВН</w:t>
            </w:r>
          </w:p>
        </w:tc>
        <w:tc>
          <w:tcPr>
            <w:tcW w:w="122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ЗЖЛПР</w:t>
            </w:r>
          </w:p>
        </w:tc>
        <w:tc>
          <w:tcPr>
            <w:tcW w:w="113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88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84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180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1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0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0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8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80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1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45</w:t>
            </w:r>
          </w:p>
        </w:tc>
        <w:tc>
          <w:tcPr>
            <w:tcW w:w="10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36</w:t>
            </w:r>
          </w:p>
        </w:tc>
        <w:tc>
          <w:tcPr>
            <w:tcW w:w="10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12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1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c>
          <w:tcPr>
            <w:tcW w:w="8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87</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152</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Благоевград е 41 лица.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ДЦПЛУ</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ДЦСХ</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ЦВН</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ЗЖЛПР</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ЗЖЛУИ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Благоевград, различна от общината по настоящ адрес</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ЦНСТДМУ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33</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ЦНСТДБУ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ПЖ</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ЗЖЛПР</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ЗЖЛУИ</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Благоевград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Благоевград е административен център на общината и на областта. Динамиката на населението в община Благоевград от 2014 г. насам е ниска. Намаляването на населението на община Благоевград е един от силно неблагоприятни фактори за бъдещото й развитие. Тенденцията ще доведе до ограничаването на работната сила и възпроизводствения потенциал на общината в дългосрочен период.</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Населението към 31.12.2021 г., съгласно информация от Националния статистически институт: община Благоевград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67 810, </w:t>
      </w:r>
      <w:r>
        <w:rPr>
          <w:rFonts w:ascii="Times New Roman" w:hAnsi="Times New Roman" w:cs="Times New Roman" w:eastAsia="Times New Roman"/>
          <w:color w:val="auto"/>
          <w:spacing w:val="0"/>
          <w:position w:val="0"/>
          <w:sz w:val="24"/>
          <w:shd w:fill="auto" w:val="clear"/>
        </w:rPr>
        <w:t xml:space="preserve">от тях мъже: 32 187, жени: 35 623. Област Благоевград е с общо население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180 448, </w:t>
      </w:r>
      <w:r>
        <w:rPr>
          <w:rFonts w:ascii="Times New Roman" w:hAnsi="Times New Roman" w:cs="Times New Roman" w:eastAsia="Times New Roman"/>
          <w:color w:val="auto"/>
          <w:spacing w:val="0"/>
          <w:position w:val="0"/>
          <w:sz w:val="24"/>
          <w:shd w:fill="auto" w:val="clear"/>
        </w:rPr>
        <w:t xml:space="preserve">от тях мъже: 86 105, жени: 94 343. Селското население в общината към 2021 г. е едва 8,43% от населението на общината, което е значително по-ниско от средното за страната 26,27%.</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Демографската картина за община Благоевград, както и за цялата страна е неблагоприятна, населението застарява, както в резултат на естествените процеси на раждаемост и смъртност, така и в резултат на засилените миграционни процеси.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tabs>
          <w:tab w:val="left" w:pos="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Благоевград, в качеството си на доставчик на социалните услуги осигурява непрекъснат процес на професионално и кариерно развитие на всички служители работещи в услугите, като се осигурява включване в различни тематични обучения според спецификата на всяка услуга, супервизии, изпълнявани процедури по услугите за наставничество и менторство.Не се отчита трайна тенденция на дефицит на специалисти и съответно желанието им да работят в сферата на социалните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справката от ДБТ Благоевград е видно, че общият дял на безработните лица с образование и опит в социалната сфера е относително нисък, в сравнение с общата безработица. С оглед оптималното функциониране на социалните услуги и изпълнявани проекти в социалната сфера се търсят възможности за по-добри условия на работа и подкрепа под формата на супервизии и системни обучения.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7630"/>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ГОЦЕ ДЕЛЧЕВ</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за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Гоце Делчев информацията за населението по настоящ адрес е получена от информационна система ГРАО, НОИ,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Д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БТ“, както и от социалните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Гоце Делчев, към 31.12.2021 г. е 31 883 жители, от тях 6 850 деца до 18-годишна възраст (21,48%). Общия брой на лицата с трайни увреждания е 1915 от тях деца 86 (4,49%).</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Гоце Делчев са разкрити 13 социални услуги. Общият капацитет на социалните услуги е за 341 потребители, в т.ч. 57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588"/>
        <w:gridCol w:w="1136"/>
        <w:gridCol w:w="1110"/>
        <w:gridCol w:w="1275"/>
        <w:gridCol w:w="838"/>
        <w:gridCol w:w="1491"/>
        <w:gridCol w:w="1622"/>
      </w:tblGrid>
      <w:tr>
        <w:trPr>
          <w:trHeight w:val="373" w:hRule="auto"/>
          <w:jc w:val="left"/>
        </w:trPr>
        <w:tc>
          <w:tcPr>
            <w:tcW w:w="158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13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ДЦДМУ</w:t>
            </w:r>
          </w:p>
        </w:tc>
        <w:tc>
          <w:tcPr>
            <w:tcW w:w="111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ДЦПЛУ</w:t>
            </w:r>
          </w:p>
        </w:tc>
        <w:tc>
          <w:tcPr>
            <w:tcW w:w="127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ЦСРИПЛ</w:t>
            </w:r>
          </w:p>
        </w:tc>
        <w:tc>
          <w:tcPr>
            <w:tcW w:w="83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 </w:t>
            </w:r>
          </w:p>
        </w:tc>
        <w:tc>
          <w:tcPr>
            <w:tcW w:w="149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ЦНСТДМУ</w:t>
            </w:r>
          </w:p>
        </w:tc>
        <w:tc>
          <w:tcPr>
            <w:tcW w:w="162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ЦНСТПЛПР</w:t>
            </w:r>
          </w:p>
        </w:tc>
      </w:tr>
      <w:tr>
        <w:trPr>
          <w:trHeight w:val="1" w:hRule="atLeast"/>
          <w:jc w:val="left"/>
        </w:trPr>
        <w:tc>
          <w:tcPr>
            <w:tcW w:w="15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1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6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5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1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50</w:t>
            </w:r>
          </w:p>
        </w:tc>
        <w:tc>
          <w:tcPr>
            <w:tcW w:w="11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35</w:t>
            </w:r>
          </w:p>
        </w:tc>
        <w:tc>
          <w:tcPr>
            <w:tcW w:w="12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35</w:t>
            </w:r>
          </w:p>
        </w:tc>
        <w:tc>
          <w:tcPr>
            <w:tcW w:w="8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c>
          <w:tcPr>
            <w:tcW w:w="14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16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095"/>
        <w:gridCol w:w="1919"/>
        <w:gridCol w:w="2180"/>
        <w:gridCol w:w="1078"/>
        <w:gridCol w:w="828"/>
        <w:gridCol w:w="960"/>
      </w:tblGrid>
      <w:tr>
        <w:trPr>
          <w:trHeight w:val="267" w:hRule="auto"/>
          <w:jc w:val="left"/>
        </w:trPr>
        <w:tc>
          <w:tcPr>
            <w:tcW w:w="209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2325" w:firstLine="0"/>
              <w:jc w:val="both"/>
              <w:rPr>
                <w:rFonts w:ascii="Calibri" w:hAnsi="Calibri" w:cs="Calibri" w:eastAsia="Calibri"/>
                <w:color w:val="auto"/>
                <w:spacing w:val="0"/>
                <w:position w:val="0"/>
                <w:sz w:val="22"/>
                <w:shd w:fill="auto" w:val="clear"/>
              </w:rPr>
            </w:pPr>
          </w:p>
        </w:tc>
        <w:tc>
          <w:tcPr>
            <w:tcW w:w="191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ЦНСТПЛД</w:t>
            </w:r>
          </w:p>
        </w:tc>
        <w:tc>
          <w:tcPr>
            <w:tcW w:w="218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ЦНСТПЛУИ</w:t>
            </w:r>
          </w:p>
        </w:tc>
        <w:tc>
          <w:tcPr>
            <w:tcW w:w="107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КЦД</w:t>
            </w:r>
          </w:p>
        </w:tc>
        <w:tc>
          <w:tcPr>
            <w:tcW w:w="82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c>
          <w:tcPr>
            <w:tcW w:w="9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r>
      <w:tr>
        <w:trPr>
          <w:trHeight w:val="1" w:hRule="atLeast"/>
          <w:jc w:val="left"/>
        </w:trPr>
        <w:tc>
          <w:tcPr>
            <w:tcW w:w="209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91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21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0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09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91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21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0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8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57</w:t>
            </w:r>
          </w:p>
        </w:tc>
        <w:tc>
          <w:tcPr>
            <w:tcW w:w="9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Гоце Делчев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Голям е броят на лицата, желаещи да ползват социални и интегрирани здравно-социални услуги на територията на община Гоце Делчев и е необходимо разкриване на нови социялни услуги за удовлетворяване на потребностите.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ЦНСТПЛПР</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178</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ЦНСТПЛФУ</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74</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ЦНСТДБУ</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Гоце Делчев,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Броят на лицата, които ползват социални и интегрирани здравно-социални услуги е 136.</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ЦНСТПЛД</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ЦНСТПЛУИ</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ЦНСТПЛУПР</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ЦНСТДМУ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КЦ</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ЦСРИПЛ</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36</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ДЦПЛУ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ДЦДМУ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27</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Гоце Делчев за последните 5 години </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tabs>
          <w:tab w:val="left" w:pos="284"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284"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Населението на община Гоце Делчев към 31.12.2021 г. по данни на ГРАО-Гоце Делчев наброява 29 585 души. Общината включва 13 населени места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град Гоце Делчев и 12 села. В общинския център е съсредоточено около 66,5% (21 215 души) от общото население. Естественият прираст на населението на общината на Гоце Делчев за периода 2017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2021 </w:t>
      </w:r>
      <w:r>
        <w:rPr>
          <w:rFonts w:ascii="Times New Roman" w:hAnsi="Times New Roman" w:cs="Times New Roman" w:eastAsia="Times New Roman"/>
          <w:color w:val="auto"/>
          <w:spacing w:val="0"/>
          <w:position w:val="0"/>
          <w:sz w:val="24"/>
          <w:shd w:fill="auto" w:val="clear"/>
        </w:rPr>
        <w:t xml:space="preserve">е отрицателен.</w:t>
      </w:r>
    </w:p>
    <w:p>
      <w:pPr>
        <w:tabs>
          <w:tab w:val="left" w:pos="284"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Данните на общинско ниво за основните демографски показатели - раждаемост, смъртност и естествен прираст, показват благоприятни тенденции за естествено възпроизводство на населението през анализирания пет годишен период. Естественият прираст на населението е положителна величина в резултат на увеличаване броя на живородените и намаляване броя на починалите.</w:t>
      </w:r>
    </w:p>
    <w:p>
      <w:pPr>
        <w:tabs>
          <w:tab w:val="left" w:pos="284"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tabs>
          <w:tab w:val="left" w:pos="284"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Служителите, осъществяващи дейности по предоставяне на социални услуги на територията на община Гоце Делчев са 166,5.бр.:</w:t>
      </w:r>
    </w:p>
    <w:p>
      <w:pPr>
        <w:tabs>
          <w:tab w:val="left" w:pos="284"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управленски кадри 8,5; </w:t>
      </w:r>
    </w:p>
    <w:p>
      <w:pPr>
        <w:tabs>
          <w:tab w:val="left" w:pos="284"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налични служители осъществяващи дейности по предоставяне на социални услуги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158, </w:t>
      </w:r>
      <w:r>
        <w:rPr>
          <w:rFonts w:ascii="Times New Roman" w:hAnsi="Times New Roman" w:cs="Times New Roman" w:eastAsia="Times New Roman"/>
          <w:color w:val="auto"/>
          <w:spacing w:val="0"/>
          <w:position w:val="0"/>
          <w:sz w:val="24"/>
          <w:shd w:fill="auto" w:val="clear"/>
        </w:rPr>
        <w:t xml:space="preserve">от които:</w:t>
      </w:r>
    </w:p>
    <w:p>
      <w:pPr>
        <w:numPr>
          <w:ilvl w:val="0"/>
          <w:numId w:val="7691"/>
        </w:numPr>
        <w:tabs>
          <w:tab w:val="left" w:pos="284"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основни специалисти 57 бр.</w:t>
      </w:r>
    </w:p>
    <w:p>
      <w:pPr>
        <w:numPr>
          <w:ilvl w:val="0"/>
          <w:numId w:val="7691"/>
        </w:numPr>
        <w:tabs>
          <w:tab w:val="left" w:pos="284"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препоръчителни специалисти- 4 бр.;</w:t>
      </w:r>
    </w:p>
    <w:p>
      <w:pPr>
        <w:numPr>
          <w:ilvl w:val="0"/>
          <w:numId w:val="7691"/>
        </w:numPr>
        <w:tabs>
          <w:tab w:val="left" w:pos="284"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пряко ангажирани с обслужването на потребителите са 78,5 бр. ;</w:t>
      </w:r>
    </w:p>
    <w:p>
      <w:pPr>
        <w:numPr>
          <w:ilvl w:val="0"/>
          <w:numId w:val="7691"/>
        </w:numPr>
        <w:tabs>
          <w:tab w:val="left" w:pos="284"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подпомагащи служители са 18,5 бр. </w:t>
      </w:r>
    </w:p>
    <w:p>
      <w:pPr>
        <w:tabs>
          <w:tab w:val="left" w:pos="284"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Информацията е осигурена от утвърдените длъжностни щатни разписания във всяка социална услуга. Общината, в качеството ѝ на доставчик на социални услуги,  осигурява професионално и кариерно развитие на служителите, работещи в услугите. </w:t>
      </w:r>
    </w:p>
    <w:p>
      <w:pPr>
        <w:tabs>
          <w:tab w:val="left" w:pos="284"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служителите, осъществяващи дейности по предоставяне на социални услуги са осигурени периодични обучения, супервизии и вътрешен мониторинг.</w:t>
      </w:r>
    </w:p>
    <w:p>
      <w:pPr>
        <w:tabs>
          <w:tab w:val="left" w:pos="284"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7693"/>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ГЪРМЕН</w:t>
      </w:r>
    </w:p>
    <w:p>
      <w:pPr>
        <w:spacing w:before="0" w:after="0" w:line="240"/>
        <w:ind w:right="48" w:left="-15"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Гърмен информацията за населението по настоящ адрес е получена от НСИ, ДСП,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ГРАО“ на общината.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Гърмен към 31.12.2021 г. е 15 325 жители, от тях 3 621 деца до 18-годишна възраст (23,63%), Общия брой на лицата с трайни увреждания е 795, от тях деца 63 (7,92%).</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Гърмен са разкрити 3 социални услуги с общ капацитет 55 потребители, н това число 27 потребители на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253"/>
        <w:gridCol w:w="2296"/>
        <w:gridCol w:w="2321"/>
        <w:gridCol w:w="1190"/>
      </w:tblGrid>
      <w:tr>
        <w:trPr>
          <w:trHeight w:val="1" w:hRule="atLeast"/>
          <w:jc w:val="left"/>
        </w:trPr>
        <w:tc>
          <w:tcPr>
            <w:tcW w:w="325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29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232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119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325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2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3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25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2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23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1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27</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Гърмен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списъка с чакащи кандидати- потребители в невъзможност за самообслужване желаещи да ползват социалната услуга Асистентска подкрепа в община Гърмен към момента са 81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Асистентска подкрепа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81</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Гърмен  за последните 5 години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Гърмен не е представила информация и прогнози.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7714"/>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КРЕСНА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Кресна информацията за населението по настоящ адрес е получена от НОИ,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ГРАО“, Агенцията за хората с увреждания.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Кресна, към 31.12.2021 г. е 5010 жители, от тях 699 деца до 18-годишна възраст (14 %). Общия брой на лицата с трайни увреждания е 160, от тях деца 9 (5,6%).</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Кресна са разкрити 4 социални услуги, Общият капацитет на социалните услуги е за 115 потребители, в т.ч. 30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493"/>
        <w:gridCol w:w="2170"/>
        <w:gridCol w:w="1694"/>
        <w:gridCol w:w="1799"/>
        <w:gridCol w:w="904"/>
      </w:tblGrid>
      <w:tr>
        <w:trPr>
          <w:trHeight w:val="1" w:hRule="atLeast"/>
          <w:jc w:val="left"/>
        </w:trPr>
        <w:tc>
          <w:tcPr>
            <w:tcW w:w="249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17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169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w:t>
            </w:r>
          </w:p>
        </w:tc>
        <w:tc>
          <w:tcPr>
            <w:tcW w:w="179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 </w:t>
            </w:r>
          </w:p>
        </w:tc>
        <w:tc>
          <w:tcPr>
            <w:tcW w:w="90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289" w:hRule="auto"/>
          <w:jc w:val="left"/>
        </w:trPr>
        <w:tc>
          <w:tcPr>
            <w:tcW w:w="249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1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6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49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1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c>
          <w:tcPr>
            <w:tcW w:w="16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35</w:t>
            </w:r>
          </w:p>
        </w:tc>
        <w:tc>
          <w:tcPr>
            <w:tcW w:w="17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c>
          <w:tcPr>
            <w:tcW w:w="9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b/>
          <w:i/>
          <w:color w:val="auto"/>
          <w:spacing w:val="0"/>
          <w:position w:val="0"/>
          <w:sz w:val="24"/>
          <w:shd w:fill="auto" w:val="clear"/>
        </w:rPr>
        <w:t xml:space="preserve">да ползват социални и интегрирани здравно- социални услуги на територията на община Кресна.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Кресна е 111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ДЦПЛУ</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 </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42</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44</w:t>
            </w:r>
          </w:p>
        </w:tc>
      </w:tr>
    </w:tbl>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Кресна,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подпомагане“-гр. Кресна в община Кресна няма потребители на социални услуги от други общини.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Кресна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Данните на общинско ниво за основните демографски показатели - раждаемост, смъртност и естествен прираст, показват неблагоприятни тенденции за естествено възпроизводство на населението през анализирания пет годишен период. </w:t>
      </w:r>
      <w:r>
        <w:rPr>
          <w:rFonts w:ascii="Times New Roman" w:hAnsi="Times New Roman" w:cs="Times New Roman" w:eastAsia="Times New Roman"/>
          <w:color w:val="000000"/>
          <w:spacing w:val="0"/>
          <w:position w:val="0"/>
          <w:sz w:val="24"/>
          <w:shd w:fill="auto" w:val="clear"/>
        </w:rPr>
        <w:t xml:space="preserve">Естественият прираст на населението е отрицателна величина в резултат на намаляване броя на живородените и увеличаване броя на починалите.</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Служителите, осъществяващи дейности по предоставяне на социални услуги на територията на община Кресна са:</w:t>
      </w:r>
    </w:p>
    <w:p>
      <w:pPr>
        <w:numPr>
          <w:ilvl w:val="0"/>
          <w:numId w:val="7737"/>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Управленски кадри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w:t>
      </w:r>
    </w:p>
    <w:p>
      <w:pPr>
        <w:numPr>
          <w:ilvl w:val="0"/>
          <w:numId w:val="7737"/>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Налични служители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26;</w:t>
      </w:r>
    </w:p>
    <w:p>
      <w:pPr>
        <w:numPr>
          <w:ilvl w:val="0"/>
          <w:numId w:val="7737"/>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Основни специалисти, осъществяващи дейности по предоставяне на социални услуги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18;</w:t>
      </w:r>
    </w:p>
    <w:p>
      <w:pPr>
        <w:numPr>
          <w:ilvl w:val="0"/>
          <w:numId w:val="7737"/>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Препоръчителни специалисти в зависимост от вида на социалната или ИЗС услуга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няма;</w:t>
      </w:r>
    </w:p>
    <w:p>
      <w:pPr>
        <w:numPr>
          <w:ilvl w:val="0"/>
          <w:numId w:val="7737"/>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Служители, пряко ангажирани с обслужването на потребителите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w:t>
      </w:r>
    </w:p>
    <w:p>
      <w:pPr>
        <w:numPr>
          <w:ilvl w:val="0"/>
          <w:numId w:val="7737"/>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Служители, подпомагащи функционирането на социалната или ИЗС услуга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6.</w:t>
      </w:r>
    </w:p>
    <w:p>
      <w:pPr>
        <w:numPr>
          <w:ilvl w:val="0"/>
          <w:numId w:val="7737"/>
        </w:num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7737"/>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ПЕТРИЧ</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са използвани официални източници на информация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данни на Националния статистически институт, инструментите на ГРАО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Национална база данни, Локална база данни. Данни от ДСП, ДБТ, учебни заведения.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Петрич, към 31.12.2021 г. е 52020 жители, от тях 11 236 деца до 18-годишна възраст (21,6%), Общия брой на лицата с трайни увреждания е 3478, от тях деца 177 (5,09%).</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Петрич са разкрити 4 социални услуги, Общият капацитет на социалните услуги е за 115 потребители, в т.ч. 59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439"/>
        <w:gridCol w:w="1745"/>
        <w:gridCol w:w="1705"/>
        <w:gridCol w:w="2289"/>
        <w:gridCol w:w="882"/>
      </w:tblGrid>
      <w:tr>
        <w:trPr>
          <w:trHeight w:val="1" w:hRule="atLeast"/>
          <w:jc w:val="left"/>
        </w:trPr>
        <w:tc>
          <w:tcPr>
            <w:tcW w:w="243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74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170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228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88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24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7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2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4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7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7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c>
          <w:tcPr>
            <w:tcW w:w="22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59</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Петрич</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Петрич е 52 лица за социалната услуга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52</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Петрич,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Петрич няма потребители от други общини, които да ползват функциониращите на територията на общината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Петрич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Общината се нарежда на второ място сред общините в областта по численост на населението след областния център Благоевград. Населението на общината съставлява 0,7% от населението на страната.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Тенденцията за намаляване на населението на община Петрич продължава и през периода 2017-2021 г. За този период населението е намаляло с 2 161 д., което представлява 4,3 % спад. В сравнение с Област Благоевград темпът на намаляване на населението на община Петрич е по-висок, като в област Благоевград намалението за разглеждания период е 3,2%. Наблюдава се устойчива тенденция за намаляване броя на населението в общината през последните години, но тя е по-силно изразена в сравнение с областните показатели. Устойчивата тенденция на обезлюдяване на общината е трудно да се преодолее и са необходими още по-целенасочени усилия за овладяване на този процес.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 периода 2017-2021 г. тенденцията за намаляване на населението е характерна, както за градското, така и селското население в община Петрич.</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щатни разписания, служителите в социалните услуги следва да са 178. Назначените служители към момента са 168,75, свободните длъжности са: 9,25.</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7757"/>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 </w:t>
      </w:r>
      <w:r>
        <w:rPr>
          <w:rFonts w:ascii="Times New Roman" w:hAnsi="Times New Roman" w:cs="Times New Roman" w:eastAsia="Times New Roman"/>
          <w:b/>
          <w:color w:val="003366"/>
          <w:spacing w:val="0"/>
          <w:position w:val="0"/>
          <w:sz w:val="24"/>
          <w:shd w:fill="auto" w:val="clear"/>
        </w:rPr>
        <w:t xml:space="preserve">ОБЩИНА РАЗЛОГ</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са използвани официални източници на информация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данни на Националния статистически институт, инструментите на ГРАО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Национална база данни, Локална база данни. Данни от ДСП , ДБТ, учебни заведения, здравни заведения.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Разлог към 31.12.2021 г. е 18 822 жители, от тях 3022 деца до 18-годишна възраст (16,06%). Общия брой на лицата с трайни увреждания е 1 567, от тях деца 73 (4,66%).</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Разлог са разкрити 10 социални услуги, Общият капацитет на социалните услуги е за 191 потребители, в т.ч. 45 асистентска подкрепа.</w:t>
      </w:r>
    </w:p>
    <w:tbl>
      <w:tblPr/>
      <w:tblGrid>
        <w:gridCol w:w="1888"/>
        <w:gridCol w:w="1350"/>
        <w:gridCol w:w="1319"/>
        <w:gridCol w:w="1082"/>
        <w:gridCol w:w="1691"/>
        <w:gridCol w:w="1730"/>
      </w:tblGrid>
      <w:tr>
        <w:trPr>
          <w:trHeight w:val="272" w:hRule="auto"/>
          <w:jc w:val="left"/>
        </w:trPr>
        <w:tc>
          <w:tcPr>
            <w:tcW w:w="188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35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131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108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w:t>
            </w:r>
          </w:p>
        </w:tc>
        <w:tc>
          <w:tcPr>
            <w:tcW w:w="169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173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ЦНСТПЛД</w:t>
            </w:r>
          </w:p>
        </w:tc>
      </w:tr>
      <w:tr>
        <w:trPr>
          <w:trHeight w:val="275" w:hRule="auto"/>
          <w:jc w:val="left"/>
        </w:trPr>
        <w:tc>
          <w:tcPr>
            <w:tcW w:w="18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3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3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0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6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408" w:hRule="auto"/>
          <w:jc w:val="left"/>
        </w:trPr>
        <w:tc>
          <w:tcPr>
            <w:tcW w:w="18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3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c>
          <w:tcPr>
            <w:tcW w:w="13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0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c>
          <w:tcPr>
            <w:tcW w:w="16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7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119"/>
        <w:gridCol w:w="1576"/>
        <w:gridCol w:w="1575"/>
        <w:gridCol w:w="1435"/>
        <w:gridCol w:w="1165"/>
        <w:gridCol w:w="1190"/>
      </w:tblGrid>
      <w:tr>
        <w:trPr>
          <w:trHeight w:val="280" w:hRule="auto"/>
          <w:jc w:val="left"/>
        </w:trPr>
        <w:tc>
          <w:tcPr>
            <w:tcW w:w="211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57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157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143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ЗЖЛФУ</w:t>
            </w:r>
          </w:p>
        </w:tc>
        <w:tc>
          <w:tcPr>
            <w:tcW w:w="116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119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r>
      <w:tr>
        <w:trPr>
          <w:trHeight w:val="272" w:hRule="auto"/>
          <w:jc w:val="left"/>
        </w:trPr>
        <w:tc>
          <w:tcPr>
            <w:tcW w:w="211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11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5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4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11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45</w:t>
            </w:r>
          </w:p>
        </w:tc>
        <w:tc>
          <w:tcPr>
            <w:tcW w:w="11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Разлог</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 брой на желаещите да ползват социалните услуги и интегрираните здравно-социални услуги, територията на общината е 5. Информацията е от списъците на чакащите по първо желание за съответната социална услуга и е предоставена от дирекциите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гр. Разлог.</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ЦНСТПЛД</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ЗЖЛФУ</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ДСХ</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Разлог, различна от  общината по настоящ адрес</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271" w:hRule="auto"/>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ЗЖПЛФУ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ЦНСТПЛД</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ЦНСТДБУ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ДЦДМУ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Разлог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 постигане на съответствие с изискванията за брой, квалификация и състав на служителите, заложени в стандартите за качество по Наредбата за качеството на социалните услуги /НКСУ/, община Разлог е разработила таблица, където е изведен прогнозен брой на служителите с оглед на оптимално функциониране на социалните и интегрираните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съпоставка на данните за брой на назначени служители и брой незаети длъжности към момента на извършването на анализа по утвърдените щатни разписания във всяка услуга, както и въз основа на определените минимални изисквания в стандартите за качество на социалните услуги, касаещи броя и квалификацията на необходимите служители, община Разлог може да направи извода, че: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на територията на община Разлог имат нужда от квалифицирани социални работници (поне 5 броя); медицински сестри (поне 7 броя в трудоспособна възраст); психолози (поне 5 броя); логопеди; специални педагози и рехабилитатори.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7807"/>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САНДАНСКИ</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са използвани официални източници на информация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данни на Националния статистически институт, инструментите на ГРАО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Национална база данни, Локална база данни. Данни от ДСП, ДБТ, учебни заведения.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Сандански, към 31.12.2021 г. е 36 335 жители, от тях 5654 деца до 18-годишна възраст (15,56%). Общия брой на лицата с трайни увреждания е 3031, от тях деца 110 (3, 63%).</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Сандански са разкрити 10 социални услуги, Общият капацитет на социалните услуги е за 271 потребители, в т.ч. 100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014"/>
        <w:gridCol w:w="1441"/>
        <w:gridCol w:w="1408"/>
        <w:gridCol w:w="1154"/>
        <w:gridCol w:w="986"/>
        <w:gridCol w:w="2057"/>
      </w:tblGrid>
      <w:tr>
        <w:trPr>
          <w:trHeight w:val="333" w:hRule="auto"/>
          <w:jc w:val="left"/>
        </w:trPr>
        <w:tc>
          <w:tcPr>
            <w:tcW w:w="20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44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140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115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w:t>
            </w:r>
          </w:p>
        </w:tc>
        <w:tc>
          <w:tcPr>
            <w:tcW w:w="98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205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r>
      <w:tr>
        <w:trPr>
          <w:trHeight w:val="1" w:hRule="atLeast"/>
          <w:jc w:val="left"/>
        </w:trPr>
        <w:tc>
          <w:tcPr>
            <w:tcW w:w="201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4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1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0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201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4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36</w:t>
            </w:r>
          </w:p>
        </w:tc>
        <w:tc>
          <w:tcPr>
            <w:tcW w:w="14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35</w:t>
            </w:r>
          </w:p>
        </w:tc>
        <w:tc>
          <w:tcPr>
            <w:tcW w:w="11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9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20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28</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20"/>
        <w:gridCol w:w="2606"/>
        <w:gridCol w:w="2203"/>
        <w:gridCol w:w="1131"/>
      </w:tblGrid>
      <w:tr>
        <w:trPr>
          <w:trHeight w:val="270" w:hRule="auto"/>
          <w:jc w:val="left"/>
        </w:trPr>
        <w:tc>
          <w:tcPr>
            <w:tcW w:w="312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60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ЦНСТМУ</w:t>
            </w:r>
          </w:p>
        </w:tc>
        <w:tc>
          <w:tcPr>
            <w:tcW w:w="220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113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31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6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2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1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6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22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1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100</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Сандански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 брой на лицата, желаещи да ползват социални и интегрирани здравно-социални услуги на територията на Община Сандански са както следва: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ЦНСТПЛПР</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32</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ЗЖЛУИ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Сандански,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Потребители от други общини, ползващи социални услуги на територията на община Сандански: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271" w:hRule="auto"/>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ДЦДМУ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ЦНСТПЛПР</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ЗЖЛУИ</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ЦНСТМУ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Сандански за последните 5 години</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Сандански е най-голяма по територия община в областта и населените места са на голямо отстояние едно от друго. Структурата на населението по населени места показва, че повечето от селищата в общината са на път да изчезнат през следващите години. Това са отдалечени от общинския център села, предимно в планински части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Шестнайсет от селата са с под 10 души население, десет села са с население от 11 до 50 души; шест села са с население между 51 и 100 души, петнадесет села са с население между 100 и 999 души, а с население над 1000 души са три села. Ръстът на населението в периода 2017</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2021 </w:t>
      </w:r>
      <w:r>
        <w:rPr>
          <w:rFonts w:ascii="Times New Roman" w:hAnsi="Times New Roman" w:cs="Times New Roman" w:eastAsia="Times New Roman"/>
          <w:color w:val="auto"/>
          <w:spacing w:val="0"/>
          <w:position w:val="0"/>
          <w:sz w:val="24"/>
          <w:shd w:fill="auto" w:val="clear"/>
        </w:rPr>
        <w:t xml:space="preserve">г. е отрицателен в почти всички селища. По-големите села в общината са разположени в близост до общинския център.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Основна характеристика на демографската структура на общината очертана от наличната информация е че е налице силна концентрация на населението в общинския център и по-големите села Поленица, Дамяница, Склаве, Ново Делчево и Лешница. Все още не е преодоляна тенденцията към обезлюдяване на периферията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Сандански не прави изключение по очертаващите се трайни тенденции на отрицателен естествен прираст, ниска раждаемост, висока смъртност, нарушена възрастова структура и пр.. Крайния резултат е проявата на един постоянен процес на намаляване броя на населението.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Броят на служителите, работещи в социалните услуги към момента е 74. Община Сандански е извела и необходимият брой служители, необходими за осъществяване на дейностите при спазване на нормативните изисквания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98.</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7856"/>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САТОВЧА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са използвани официални източници на информация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данни на Националния статистически институт, инструментите на ГРАО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Национална база данни, Локална база данни. Данни от ДСП, ДБТ, учебни заведения.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Сатовча, към 31.12.2021 г. е 18 564 жители, от тях 3358 деца до 18-годишна възраст (18,09%). Общия брой на лицата с трайни увреждания е 1004, от тях деца 45 (4,48%).</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Сатовча са разкрити 3 социални услуги, Общият капацитет на социалните услуги е за 80 потребители, в т.ч. 30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440"/>
        <w:gridCol w:w="2403"/>
        <w:gridCol w:w="1970"/>
        <w:gridCol w:w="1247"/>
      </w:tblGrid>
      <w:tr>
        <w:trPr>
          <w:trHeight w:val="243" w:hRule="auto"/>
          <w:jc w:val="left"/>
        </w:trPr>
        <w:tc>
          <w:tcPr>
            <w:tcW w:w="344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40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197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w:t>
            </w:r>
          </w:p>
        </w:tc>
        <w:tc>
          <w:tcPr>
            <w:tcW w:w="124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344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4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9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44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4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9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2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Сатовча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Интересът към социалната услуга Асистентска подкрепа в общината е изключително голям, 100 са лицата, желаещи да ползват услугата.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100</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Сатовча, различна от общината по настоящ адрес</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предоставена информация.</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Сатовча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Тенденцията, която се наблюдава като цяло за страната на застаряване на селското население се проявява и на територията на община Сатовча. Важно е да се отбележи, че в общината механичния прираст е с положителни стойности и независимо, че естествения прираст е отрицателен, общият брой на населението не намалява значително. </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keepNext w:val="true"/>
        <w:numPr>
          <w:ilvl w:val="0"/>
          <w:numId w:val="7874"/>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СИМИТЛИ</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са използвани официални източници на информация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данни на Националния статистически институт, инструментите на ГРАО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Национална база данни, Локална база данни. Данни от ДСП, ДБТ, учебни заведения.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Симитли, към 31.12.2021 г. е 12 999 жители, от тях 1883 деца до 18-годишна възраст (14,49%), Общия брой на лицата с трайни увреждания е 981, от тях деца 42 (4,28%).</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Симитли са разкрити 12 социални услуги, Общият капацитет на социалните услуги е за 234 потребители, в т.ч. 35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673"/>
        <w:gridCol w:w="1198"/>
        <w:gridCol w:w="1171"/>
        <w:gridCol w:w="959"/>
        <w:gridCol w:w="819"/>
        <w:gridCol w:w="1709"/>
        <w:gridCol w:w="1531"/>
      </w:tblGrid>
      <w:tr>
        <w:trPr>
          <w:trHeight w:val="388" w:hRule="auto"/>
          <w:jc w:val="left"/>
        </w:trPr>
        <w:tc>
          <w:tcPr>
            <w:tcW w:w="167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198"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ДЦДМУ</w:t>
            </w:r>
          </w:p>
        </w:tc>
        <w:tc>
          <w:tcPr>
            <w:tcW w:w="117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ДЦПЛУ</w:t>
            </w:r>
          </w:p>
        </w:tc>
        <w:tc>
          <w:tcPr>
            <w:tcW w:w="95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w:t>
            </w:r>
          </w:p>
        </w:tc>
        <w:tc>
          <w:tcPr>
            <w:tcW w:w="81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170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ЦНСТПЛПР</w:t>
            </w:r>
          </w:p>
        </w:tc>
        <w:tc>
          <w:tcPr>
            <w:tcW w:w="153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ЦНСТПЛД</w:t>
            </w:r>
          </w:p>
        </w:tc>
      </w:tr>
      <w:tr>
        <w:trPr>
          <w:trHeight w:val="1" w:hRule="atLeast"/>
          <w:jc w:val="left"/>
        </w:trPr>
        <w:tc>
          <w:tcPr>
            <w:tcW w:w="167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1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167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1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c>
          <w:tcPr>
            <w:tcW w:w="11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c>
          <w:tcPr>
            <w:tcW w:w="9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c>
          <w:tcPr>
            <w:tcW w:w="8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7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5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28</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149"/>
        <w:gridCol w:w="2261"/>
        <w:gridCol w:w="2234"/>
        <w:gridCol w:w="1479"/>
        <w:gridCol w:w="937"/>
      </w:tblGrid>
      <w:tr>
        <w:trPr>
          <w:trHeight w:val="388" w:hRule="auto"/>
          <w:jc w:val="left"/>
        </w:trPr>
        <w:tc>
          <w:tcPr>
            <w:tcW w:w="214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26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ЦНСТПЛФУ</w:t>
            </w:r>
          </w:p>
        </w:tc>
        <w:tc>
          <w:tcPr>
            <w:tcW w:w="223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ЦНСТПЛУИ</w:t>
            </w:r>
          </w:p>
        </w:tc>
        <w:tc>
          <w:tcPr>
            <w:tcW w:w="1479"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ЗЖЛПР</w:t>
            </w:r>
          </w:p>
        </w:tc>
        <w:tc>
          <w:tcPr>
            <w:tcW w:w="93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left"/>
        </w:trPr>
        <w:tc>
          <w:tcPr>
            <w:tcW w:w="214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2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2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4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14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2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22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4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9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35</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Симитли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Съгласно информация предоставена от Дирекция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Социално подпомагане“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Благоевград, броя на желаещите да ползват социални и интегрирани здравно-социални услуги на територията на община Симитли са, е както следва: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ДЦДМУ</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ЗЖПЛПР</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91</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ЦНСТПЛПР</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238</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ЦНСТПЛД</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116</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ЦНСТПЛФУ</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ЦНСТПЛУИ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68</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bl>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 база горе изложеното е видно, че за трите социални  услуги ЦНСТПЛПР, ЦНСТПЛД и ЦНСТПЛД, чакащите са най-много. В продължение на няколко години няма текучество в социалните услуги от резидентен тип за пълнолетни лица с психични разстройства.</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Симитли, различна от общината по настоящ адрес</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271" w:hRule="auto"/>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ЗЖПЛПР</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ЦНСТПЛПР</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ЦНСТПЛД</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ЦНСТПЛФУ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ЦНСТПЛУИ</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29</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Симитли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Тенденцията, която се наблюдава като цяло за страната на застаряване на селското население се проявява и на територията на община Симитли. Населението в активна трудова възраст населява главно по-големите села от общината, докато в по-малките села е локализирано предимно възрастно население.</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Естествените демографски процеси, като смъртност, водят до намаляване на постоянният брой на жителите, особено на малките населени места. В резултат на това ясно се очертава негативната тенденция на обезлюдяване на селата, намаляване на прираста на населението, активни миграционни процеси, свързани най-вече с търсене на заетост на млади, образовани хора извън територията не само на общината, а и на областта. Качествен показател, даващ най-точната оценка за състоянието и перспективата на населението е неговата възрастова структура. Относителният дял на населението в трудоспособна възраст намалява, а на това в надтрудоспособна възраст се увеличава. Делът на населението в под трудоспособна възраст бележи трайна тенденция към намаляване. Тенденцията на остаряване на населението довежда до промени в неговата основна възрастова структура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разпределение на населението под, в и надтрудоспособна възраст. Това означава, че младите поколения, които ще заменят след време заетите лица и намиращите се на пазара на труда лица от средните възрасти ще бъдат по- малко от хората в надтрудоспособна възраст, което ще задържи тенденцията на застаряване на населението в общината. Все още високите стойности на коефициента на възрастова зависимост показват, че разходите за издръжка на старите хора за здравни и социални услуги стават по- големи.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Отрицателно влияние оказва и външната миграция, която за съжаление обхваща предимно лица в трудоспособна възраст, в повечето случаи със средна и висока степен на образование и квалификация, като на територията на общината остават най-вече хора в надтрудоспособна възраст и такива с ниска степен на образование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евентуални бъдещи потребители на социални услуги. От друга страна това създава затруднения при обслужването и обгрижването на хората, живущи по селата, особено в по-отдалечените от общинския център. Влияние върху обхвата оказва както остаряването на населението, така и законодателни промени в определянето на възрастовите граници на населението при пенсиониране.</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За да се подобри демографската картина и се осигурят приемливи стойности на показателите, отразяващи социалното и икономическото развитие на общината и доближаването до средните за ЕС се налага да се създадат предпоставки</w:t>
      </w:r>
      <w:r>
        <w:rPr>
          <w:rFonts w:ascii="Times New Roman" w:hAnsi="Times New Roman" w:cs="Times New Roman" w:eastAsia="Times New Roman"/>
          <w:i/>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за постигане на растеж. Базова предпоставка е наличието на качествен човешки ресурс, високо образован и компетентен, иновативно и проактивно работещ. Инициативите за достигане на показателите на ЕС по отношение на степен на образованост, продължаващо обучение и учене през целия живот е необходимо да бъдат своевременни, ефективни и адекватни на нуждите и възможностите за развитие на община Симитли.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3"/>
          <w:shd w:fill="auto" w:val="clear"/>
        </w:rPr>
      </w:pPr>
      <w:r>
        <w:rPr>
          <w:rFonts w:ascii="Times New Roman" w:hAnsi="Times New Roman" w:cs="Times New Roman" w:eastAsia="Times New Roman"/>
          <w:color w:val="auto"/>
          <w:spacing w:val="0"/>
          <w:position w:val="0"/>
          <w:sz w:val="23"/>
          <w:shd w:fill="auto" w:val="clear"/>
        </w:rPr>
        <w:t xml:space="preserve">Наличния персонал в действащите социални услуги- към м. декември 2022 г.е 176.</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7933"/>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СТРУМЯНИ</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Струмяни информацията за населението по настоящ адрес е получена от информационна система ГРАО, НСИ и от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Струмяни, към 31.12.2021 г. е 5474 жители, от тях 935 деца до 18-годишна възраст (17,08%). Общия брой на лицата с трайни увреждания е 455, от тях деца 11 (2,4%).</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Струмяни са разкрити 8 социални услуги. Общият капацитет на социалните услуги е 116 потребители, в т.ч. 23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083"/>
        <w:gridCol w:w="1192"/>
        <w:gridCol w:w="1433"/>
        <w:gridCol w:w="1471"/>
        <w:gridCol w:w="2125"/>
        <w:gridCol w:w="756"/>
      </w:tblGrid>
      <w:tr>
        <w:trPr>
          <w:trHeight w:val="1" w:hRule="atLeast"/>
          <w:jc w:val="left"/>
        </w:trPr>
        <w:tc>
          <w:tcPr>
            <w:tcW w:w="208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192"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w:t>
            </w:r>
          </w:p>
        </w:tc>
        <w:tc>
          <w:tcPr>
            <w:tcW w:w="143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ЗЖЛПР</w:t>
            </w:r>
          </w:p>
        </w:tc>
        <w:tc>
          <w:tcPr>
            <w:tcW w:w="1471"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ЗЖЛУИ</w:t>
            </w:r>
          </w:p>
        </w:tc>
        <w:tc>
          <w:tcPr>
            <w:tcW w:w="212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ЦНСТПЛПР</w:t>
            </w:r>
          </w:p>
        </w:tc>
        <w:tc>
          <w:tcPr>
            <w:tcW w:w="75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left"/>
        </w:trPr>
        <w:tc>
          <w:tcPr>
            <w:tcW w:w="208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19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1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7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08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19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14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14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21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60</w:t>
            </w:r>
          </w:p>
        </w:tc>
        <w:tc>
          <w:tcPr>
            <w:tcW w:w="7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Струмяни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Съгласно предоставените данни от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Сандански за желаещи за ползване на социални услуги в община Струмяни е видно следното: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ЗЖПЛПР</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43</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ЗЖПЛУИ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Предвид факта, че изградените 4 ЦГЛПР, към настоящия момент все още функционират като проектна дейност и настаняването в тях се осъществява по линия на проекта, ДСП- Сандански не разполагат с информация за броя чакащи за настаняване в центровете кандидат-потребители. Изхождайки от това, че на национално ниво липсват места за настаняване на лица с психични разстройства и има голям брой регистрирани чакащи кандидат-потребители, центровете в община Струмяни ще осигурят необходимия ресурс и среда за приемане на нуждаещи се от този тип грижа лица при наличие на свободно място.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Струмяни,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Струмяни, от други общини е:</w:t>
      </w: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271" w:hRule="auto"/>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ЗЖПЛПР</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ЗЖПЛУИ</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Струмяни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Тенденцията, която се наблюдава като цяло за страната на застаряване на селското население се проявява и на територията на община Струмяни. Населението в активна трудова възраст населява главно по-големите села от общината, докато в по-малките села е локализирано предимно възрастно население.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Естествените демографски процеси, като смъртност, водят до намаляване на постоянният брой на жителите, особено на малките населени места. В резултат на това ясно се очертава негативната тенденция на обезлюдяване на селата, намаляване на прираста на населението, активни миграционни процеси, свързани най-вече с търсене на заетост на млади, образовани хора извън територията не само на общината, а и на областта.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1"/>
          <w:position w:val="0"/>
          <w:sz w:val="24"/>
          <w:shd w:fill="auto" w:val="clear"/>
        </w:rPr>
      </w:pP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Качест</w:t>
      </w:r>
      <w:r>
        <w:rPr>
          <w:rFonts w:ascii="Times New Roman" w:hAnsi="Times New Roman" w:cs="Times New Roman" w:eastAsia="Times New Roman"/>
          <w:color w:val="auto"/>
          <w:spacing w:val="3"/>
          <w:position w:val="0"/>
          <w:sz w:val="24"/>
          <w:shd w:fill="auto" w:val="clear"/>
        </w:rPr>
        <w:t xml:space="preserve">в</w:t>
      </w:r>
      <w:r>
        <w:rPr>
          <w:rFonts w:ascii="Times New Roman" w:hAnsi="Times New Roman" w:cs="Times New Roman" w:eastAsia="Times New Roman"/>
          <w:color w:val="auto"/>
          <w:spacing w:val="-1"/>
          <w:position w:val="0"/>
          <w:sz w:val="24"/>
          <w:shd w:fill="auto" w:val="clear"/>
        </w:rPr>
        <w:t xml:space="preserve">е</w:t>
      </w:r>
      <w:r>
        <w:rPr>
          <w:rFonts w:ascii="Times New Roman" w:hAnsi="Times New Roman" w:cs="Times New Roman" w:eastAsia="Times New Roman"/>
          <w:color w:val="auto"/>
          <w:spacing w:val="0"/>
          <w:position w:val="0"/>
          <w:sz w:val="24"/>
          <w:shd w:fill="auto" w:val="clear"/>
        </w:rPr>
        <w:t xml:space="preserve">н</w:t>
      </w:r>
      <w:r>
        <w:rPr>
          <w:rFonts w:ascii="Times New Roman" w:hAnsi="Times New Roman" w:cs="Times New Roman" w:eastAsia="Times New Roman"/>
          <w:color w:val="auto"/>
          <w:spacing w:val="3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п</w:t>
      </w:r>
      <w:r>
        <w:rPr>
          <w:rFonts w:ascii="Times New Roman" w:hAnsi="Times New Roman" w:cs="Times New Roman" w:eastAsia="Times New Roman"/>
          <w:color w:val="auto"/>
          <w:spacing w:val="7"/>
          <w:position w:val="0"/>
          <w:sz w:val="24"/>
          <w:shd w:fill="auto" w:val="clear"/>
        </w:rPr>
        <w:t xml:space="preserve">о</w:t>
      </w:r>
      <w:r>
        <w:rPr>
          <w:rFonts w:ascii="Times New Roman" w:hAnsi="Times New Roman" w:cs="Times New Roman" w:eastAsia="Times New Roman"/>
          <w:color w:val="auto"/>
          <w:spacing w:val="-1"/>
          <w:position w:val="0"/>
          <w:sz w:val="24"/>
          <w:shd w:fill="auto" w:val="clear"/>
        </w:rPr>
        <w:t xml:space="preserve">казате</w:t>
      </w:r>
      <w:r>
        <w:rPr>
          <w:rFonts w:ascii="Times New Roman" w:hAnsi="Times New Roman" w:cs="Times New Roman" w:eastAsia="Times New Roman"/>
          <w:color w:val="auto"/>
          <w:spacing w:val="4"/>
          <w:position w:val="0"/>
          <w:sz w:val="24"/>
          <w:shd w:fill="auto" w:val="clear"/>
        </w:rPr>
        <w:t xml:space="preserve">л</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дава</w:t>
      </w:r>
      <w:r>
        <w:rPr>
          <w:rFonts w:ascii="Times New Roman" w:hAnsi="Times New Roman" w:cs="Times New Roman" w:eastAsia="Times New Roman"/>
          <w:color w:val="auto"/>
          <w:spacing w:val="0"/>
          <w:position w:val="0"/>
          <w:sz w:val="24"/>
          <w:shd w:fill="auto" w:val="clear"/>
        </w:rPr>
        <w:t xml:space="preserve">щ </w:t>
      </w:r>
      <w:r>
        <w:rPr>
          <w:rFonts w:ascii="Times New Roman" w:hAnsi="Times New Roman" w:cs="Times New Roman" w:eastAsia="Times New Roman"/>
          <w:color w:val="auto"/>
          <w:spacing w:val="-1"/>
          <w:position w:val="0"/>
          <w:sz w:val="24"/>
          <w:shd w:fill="auto" w:val="clear"/>
        </w:rPr>
        <w:t xml:space="preserve">на</w:t>
      </w:r>
      <w:r>
        <w:rPr>
          <w:rFonts w:ascii="Times New Roman" w:hAnsi="Times New Roman" w:cs="Times New Roman" w:eastAsia="Times New Roman"/>
          <w:color w:val="auto"/>
          <w:spacing w:val="3"/>
          <w:position w:val="0"/>
          <w:sz w:val="24"/>
          <w:shd w:fill="auto" w:val="clear"/>
        </w:rPr>
        <w:t xml:space="preserve">й</w:t>
      </w:r>
      <w:r>
        <w:rPr>
          <w:rFonts w:ascii="Times New Roman" w:hAnsi="Times New Roman" w:cs="Times New Roman" w:eastAsia="Times New Roman"/>
          <w:color w:val="auto"/>
          <w:spacing w:val="-1"/>
          <w:position w:val="0"/>
          <w:sz w:val="24"/>
          <w:shd w:fill="auto" w:val="clear"/>
        </w:rPr>
        <w:t xml:space="preserve">-</w:t>
      </w:r>
      <w:r>
        <w:rPr>
          <w:rFonts w:ascii="Times New Roman" w:hAnsi="Times New Roman" w:cs="Times New Roman" w:eastAsia="Times New Roman"/>
          <w:color w:val="auto"/>
          <w:spacing w:val="3"/>
          <w:position w:val="0"/>
          <w:sz w:val="24"/>
          <w:shd w:fill="auto" w:val="clear"/>
        </w:rPr>
        <w:t xml:space="preserve">т</w:t>
      </w:r>
      <w:r>
        <w:rPr>
          <w:rFonts w:ascii="Times New Roman" w:hAnsi="Times New Roman" w:cs="Times New Roman" w:eastAsia="Times New Roman"/>
          <w:color w:val="auto"/>
          <w:spacing w:val="5"/>
          <w:position w:val="0"/>
          <w:sz w:val="24"/>
          <w:shd w:fill="auto" w:val="clear"/>
        </w:rPr>
        <w:t xml:space="preserve">о</w:t>
      </w:r>
      <w:r>
        <w:rPr>
          <w:rFonts w:ascii="Times New Roman" w:hAnsi="Times New Roman" w:cs="Times New Roman" w:eastAsia="Times New Roman"/>
          <w:color w:val="auto"/>
          <w:spacing w:val="-6"/>
          <w:position w:val="0"/>
          <w:sz w:val="24"/>
          <w:shd w:fill="auto" w:val="clear"/>
        </w:rPr>
        <w:t xml:space="preserve">ч</w:t>
      </w:r>
      <w:r>
        <w:rPr>
          <w:rFonts w:ascii="Times New Roman" w:hAnsi="Times New Roman" w:cs="Times New Roman" w:eastAsia="Times New Roman"/>
          <w:color w:val="auto"/>
          <w:spacing w:val="-1"/>
          <w:position w:val="0"/>
          <w:sz w:val="24"/>
          <w:shd w:fill="auto" w:val="clear"/>
        </w:rPr>
        <w:t xml:space="preserve">на</w:t>
      </w:r>
      <w:r>
        <w:rPr>
          <w:rFonts w:ascii="Times New Roman" w:hAnsi="Times New Roman" w:cs="Times New Roman" w:eastAsia="Times New Roman"/>
          <w:color w:val="auto"/>
          <w:spacing w:val="3"/>
          <w:position w:val="0"/>
          <w:sz w:val="24"/>
          <w:shd w:fill="auto" w:val="clear"/>
        </w:rPr>
        <w:t xml:space="preserve">т</w:t>
      </w:r>
      <w:r>
        <w:rPr>
          <w:rFonts w:ascii="Times New Roman" w:hAnsi="Times New Roman" w:cs="Times New Roman" w:eastAsia="Times New Roman"/>
          <w:color w:val="auto"/>
          <w:spacing w:val="0"/>
          <w:position w:val="0"/>
          <w:sz w:val="24"/>
          <w:shd w:fill="auto" w:val="clear"/>
        </w:rPr>
        <w:t xml:space="preserve">а</w:t>
      </w:r>
      <w:r>
        <w:rPr>
          <w:rFonts w:ascii="Times New Roman" w:hAnsi="Times New Roman" w:cs="Times New Roman" w:eastAsia="Times New Roman"/>
          <w:color w:val="auto"/>
          <w:spacing w:val="28"/>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о</w:t>
      </w:r>
      <w:r>
        <w:rPr>
          <w:rFonts w:ascii="Times New Roman" w:hAnsi="Times New Roman" w:cs="Times New Roman" w:eastAsia="Times New Roman"/>
          <w:color w:val="auto"/>
          <w:spacing w:val="-1"/>
          <w:position w:val="0"/>
          <w:sz w:val="24"/>
          <w:shd w:fill="auto" w:val="clear"/>
        </w:rPr>
        <w:t xml:space="preserve">ценк</w:t>
      </w:r>
      <w:r>
        <w:rPr>
          <w:rFonts w:ascii="Times New Roman" w:hAnsi="Times New Roman" w:cs="Times New Roman" w:eastAsia="Times New Roman"/>
          <w:color w:val="auto"/>
          <w:spacing w:val="0"/>
          <w:position w:val="0"/>
          <w:sz w:val="24"/>
          <w:shd w:fill="auto" w:val="clear"/>
        </w:rPr>
        <w:t xml:space="preserve">а </w:t>
      </w:r>
      <w:r>
        <w:rPr>
          <w:rFonts w:ascii="Times New Roman" w:hAnsi="Times New Roman" w:cs="Times New Roman" w:eastAsia="Times New Roman"/>
          <w:color w:val="auto"/>
          <w:spacing w:val="-1"/>
          <w:position w:val="0"/>
          <w:sz w:val="24"/>
          <w:shd w:fill="auto" w:val="clear"/>
        </w:rPr>
        <w:t xml:space="preserve">з</w:t>
      </w:r>
      <w:r>
        <w:rPr>
          <w:rFonts w:ascii="Times New Roman" w:hAnsi="Times New Roman" w:cs="Times New Roman" w:eastAsia="Times New Roman"/>
          <w:color w:val="auto"/>
          <w:spacing w:val="0"/>
          <w:position w:val="0"/>
          <w:sz w:val="24"/>
          <w:shd w:fill="auto" w:val="clear"/>
        </w:rPr>
        <w:t xml:space="preserve">а </w:t>
      </w:r>
      <w:r>
        <w:rPr>
          <w:rFonts w:ascii="Times New Roman" w:hAnsi="Times New Roman" w:cs="Times New Roman" w:eastAsia="Times New Roman"/>
          <w:color w:val="auto"/>
          <w:spacing w:val="-1"/>
          <w:position w:val="0"/>
          <w:sz w:val="24"/>
          <w:shd w:fill="auto" w:val="clear"/>
        </w:rPr>
        <w:t xml:space="preserve">съст</w:t>
      </w:r>
      <w:r>
        <w:rPr>
          <w:rFonts w:ascii="Times New Roman" w:hAnsi="Times New Roman" w:cs="Times New Roman" w:eastAsia="Times New Roman"/>
          <w:color w:val="auto"/>
          <w:spacing w:val="8"/>
          <w:position w:val="0"/>
          <w:sz w:val="24"/>
          <w:shd w:fill="auto" w:val="clear"/>
        </w:rPr>
        <w:t xml:space="preserve">о</w:t>
      </w:r>
      <w:r>
        <w:rPr>
          <w:rFonts w:ascii="Times New Roman" w:hAnsi="Times New Roman" w:cs="Times New Roman" w:eastAsia="Times New Roman"/>
          <w:color w:val="auto"/>
          <w:spacing w:val="-1"/>
          <w:position w:val="0"/>
          <w:sz w:val="24"/>
          <w:shd w:fill="auto" w:val="clear"/>
        </w:rPr>
        <w:t xml:space="preserve">ян</w:t>
      </w:r>
      <w:r>
        <w:rPr>
          <w:rFonts w:ascii="Times New Roman" w:hAnsi="Times New Roman" w:cs="Times New Roman" w:eastAsia="Times New Roman"/>
          <w:color w:val="auto"/>
          <w:spacing w:val="4"/>
          <w:position w:val="0"/>
          <w:sz w:val="24"/>
          <w:shd w:fill="auto" w:val="clear"/>
        </w:rPr>
        <w:t xml:space="preserve">и</w:t>
      </w:r>
      <w:r>
        <w:rPr>
          <w:rFonts w:ascii="Times New Roman" w:hAnsi="Times New Roman" w:cs="Times New Roman" w:eastAsia="Times New Roman"/>
          <w:color w:val="auto"/>
          <w:spacing w:val="-1"/>
          <w:position w:val="0"/>
          <w:sz w:val="24"/>
          <w:shd w:fill="auto" w:val="clear"/>
        </w:rPr>
        <w:t xml:space="preserve">ет</w:t>
      </w:r>
      <w:r>
        <w:rPr>
          <w:rFonts w:ascii="Times New Roman" w:hAnsi="Times New Roman" w:cs="Times New Roman" w:eastAsia="Times New Roman"/>
          <w:color w:val="auto"/>
          <w:spacing w:val="0"/>
          <w:position w:val="0"/>
          <w:sz w:val="24"/>
          <w:shd w:fill="auto" w:val="clear"/>
        </w:rPr>
        <w:t xml:space="preserve">о и</w:t>
      </w:r>
      <w:r>
        <w:rPr>
          <w:rFonts w:ascii="Times New Roman" w:hAnsi="Times New Roman" w:cs="Times New Roman" w:eastAsia="Times New Roman"/>
          <w:color w:val="auto"/>
          <w:spacing w:val="3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перс</w:t>
      </w:r>
      <w:r>
        <w:rPr>
          <w:rFonts w:ascii="Times New Roman" w:hAnsi="Times New Roman" w:cs="Times New Roman" w:eastAsia="Times New Roman"/>
          <w:color w:val="auto"/>
          <w:spacing w:val="4"/>
          <w:position w:val="0"/>
          <w:sz w:val="24"/>
          <w:shd w:fill="auto" w:val="clear"/>
        </w:rPr>
        <w:t xml:space="preserve">п</w:t>
      </w:r>
      <w:r>
        <w:rPr>
          <w:rFonts w:ascii="Times New Roman" w:hAnsi="Times New Roman" w:cs="Times New Roman" w:eastAsia="Times New Roman"/>
          <w:color w:val="auto"/>
          <w:spacing w:val="-1"/>
          <w:position w:val="0"/>
          <w:sz w:val="24"/>
          <w:shd w:fill="auto" w:val="clear"/>
        </w:rPr>
        <w:t xml:space="preserve">екти</w:t>
      </w:r>
      <w:r>
        <w:rPr>
          <w:rFonts w:ascii="Times New Roman" w:hAnsi="Times New Roman" w:cs="Times New Roman" w:eastAsia="Times New Roman"/>
          <w:color w:val="auto"/>
          <w:spacing w:val="5"/>
          <w:position w:val="0"/>
          <w:sz w:val="24"/>
          <w:shd w:fill="auto" w:val="clear"/>
        </w:rPr>
        <w:t xml:space="preserve">в</w:t>
      </w:r>
      <w:r>
        <w:rPr>
          <w:rFonts w:ascii="Times New Roman" w:hAnsi="Times New Roman" w:cs="Times New Roman" w:eastAsia="Times New Roman"/>
          <w:color w:val="auto"/>
          <w:spacing w:val="-1"/>
          <w:position w:val="0"/>
          <w:sz w:val="24"/>
          <w:shd w:fill="auto" w:val="clear"/>
        </w:rPr>
        <w:t xml:space="preserve">ат</w:t>
      </w:r>
      <w:r>
        <w:rPr>
          <w:rFonts w:ascii="Times New Roman" w:hAnsi="Times New Roman" w:cs="Times New Roman" w:eastAsia="Times New Roman"/>
          <w:color w:val="auto"/>
          <w:spacing w:val="0"/>
          <w:position w:val="0"/>
          <w:sz w:val="24"/>
          <w:shd w:fill="auto" w:val="clear"/>
        </w:rPr>
        <w:t xml:space="preserve">а</w:t>
      </w:r>
      <w:r>
        <w:rPr>
          <w:rFonts w:ascii="Times New Roman" w:hAnsi="Times New Roman" w:cs="Times New Roman" w:eastAsia="Times New Roman"/>
          <w:color w:val="auto"/>
          <w:spacing w:val="2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на населе</w:t>
      </w:r>
      <w:r>
        <w:rPr>
          <w:rFonts w:ascii="Times New Roman" w:hAnsi="Times New Roman" w:cs="Times New Roman" w:eastAsia="Times New Roman"/>
          <w:color w:val="auto"/>
          <w:spacing w:val="4"/>
          <w:position w:val="0"/>
          <w:sz w:val="24"/>
          <w:shd w:fill="auto" w:val="clear"/>
        </w:rPr>
        <w:t xml:space="preserve">н</w:t>
      </w:r>
      <w:r>
        <w:rPr>
          <w:rFonts w:ascii="Times New Roman" w:hAnsi="Times New Roman" w:cs="Times New Roman" w:eastAsia="Times New Roman"/>
          <w:color w:val="auto"/>
          <w:spacing w:val="-1"/>
          <w:position w:val="0"/>
          <w:sz w:val="24"/>
          <w:shd w:fill="auto" w:val="clear"/>
        </w:rPr>
        <w:t xml:space="preserve">ие</w:t>
      </w:r>
      <w:r>
        <w:rPr>
          <w:rFonts w:ascii="Times New Roman" w:hAnsi="Times New Roman" w:cs="Times New Roman" w:eastAsia="Times New Roman"/>
          <w:color w:val="auto"/>
          <w:spacing w:val="3"/>
          <w:position w:val="0"/>
          <w:sz w:val="24"/>
          <w:shd w:fill="auto" w:val="clear"/>
        </w:rPr>
        <w:t xml:space="preserve">т</w:t>
      </w:r>
      <w:r>
        <w:rPr>
          <w:rFonts w:ascii="Times New Roman" w:hAnsi="Times New Roman" w:cs="Times New Roman" w:eastAsia="Times New Roman"/>
          <w:color w:val="auto"/>
          <w:spacing w:val="0"/>
          <w:position w:val="0"/>
          <w:sz w:val="24"/>
          <w:shd w:fill="auto" w:val="clear"/>
        </w:rPr>
        <w:t xml:space="preserve">о е </w:t>
      </w:r>
      <w:r>
        <w:rPr>
          <w:rFonts w:ascii="Times New Roman" w:hAnsi="Times New Roman" w:cs="Times New Roman" w:eastAsia="Times New Roman"/>
          <w:color w:val="auto"/>
          <w:spacing w:val="-1"/>
          <w:position w:val="0"/>
          <w:sz w:val="24"/>
          <w:shd w:fill="auto" w:val="clear"/>
        </w:rPr>
        <w:t xml:space="preserve">нег</w:t>
      </w:r>
      <w:r>
        <w:rPr>
          <w:rFonts w:ascii="Times New Roman" w:hAnsi="Times New Roman" w:cs="Times New Roman" w:eastAsia="Times New Roman"/>
          <w:color w:val="auto"/>
          <w:spacing w:val="5"/>
          <w:position w:val="0"/>
          <w:sz w:val="24"/>
          <w:shd w:fill="auto" w:val="clear"/>
        </w:rPr>
        <w:t xml:space="preserve">о</w:t>
      </w:r>
      <w:r>
        <w:rPr>
          <w:rFonts w:ascii="Times New Roman" w:hAnsi="Times New Roman" w:cs="Times New Roman" w:eastAsia="Times New Roman"/>
          <w:color w:val="auto"/>
          <w:spacing w:val="-1"/>
          <w:position w:val="0"/>
          <w:sz w:val="24"/>
          <w:shd w:fill="auto" w:val="clear"/>
        </w:rPr>
        <w:t xml:space="preserve">ва</w:t>
      </w:r>
      <w:r>
        <w:rPr>
          <w:rFonts w:ascii="Times New Roman" w:hAnsi="Times New Roman" w:cs="Times New Roman" w:eastAsia="Times New Roman"/>
          <w:color w:val="auto"/>
          <w:spacing w:val="3"/>
          <w:position w:val="0"/>
          <w:sz w:val="24"/>
          <w:shd w:fill="auto" w:val="clear"/>
        </w:rPr>
        <w:t xml:space="preserve">т</w:t>
      </w:r>
      <w:r>
        <w:rPr>
          <w:rFonts w:ascii="Times New Roman" w:hAnsi="Times New Roman" w:cs="Times New Roman" w:eastAsia="Times New Roman"/>
          <w:color w:val="auto"/>
          <w:spacing w:val="0"/>
          <w:position w:val="0"/>
          <w:sz w:val="24"/>
          <w:shd w:fill="auto" w:val="clear"/>
        </w:rPr>
        <w:t xml:space="preserve">а </w:t>
      </w:r>
      <w:r>
        <w:rPr>
          <w:rFonts w:ascii="Times New Roman" w:hAnsi="Times New Roman" w:cs="Times New Roman" w:eastAsia="Times New Roman"/>
          <w:color w:val="auto"/>
          <w:spacing w:val="-1"/>
          <w:position w:val="0"/>
          <w:sz w:val="24"/>
          <w:shd w:fill="auto" w:val="clear"/>
        </w:rPr>
        <w:t xml:space="preserve">в</w:t>
      </w:r>
      <w:r>
        <w:rPr>
          <w:rFonts w:ascii="Times New Roman" w:hAnsi="Times New Roman" w:cs="Times New Roman" w:eastAsia="Times New Roman"/>
          <w:color w:val="auto"/>
          <w:spacing w:val="3"/>
          <w:position w:val="0"/>
          <w:sz w:val="24"/>
          <w:shd w:fill="auto" w:val="clear"/>
        </w:rPr>
        <w:t xml:space="preserve">ъ</w:t>
      </w:r>
      <w:r>
        <w:rPr>
          <w:rFonts w:ascii="Times New Roman" w:hAnsi="Times New Roman" w:cs="Times New Roman" w:eastAsia="Times New Roman"/>
          <w:color w:val="auto"/>
          <w:spacing w:val="-1"/>
          <w:position w:val="0"/>
          <w:sz w:val="24"/>
          <w:shd w:fill="auto" w:val="clear"/>
        </w:rPr>
        <w:t xml:space="preserve">зраст</w:t>
      </w:r>
      <w:r>
        <w:rPr>
          <w:rFonts w:ascii="Times New Roman" w:hAnsi="Times New Roman" w:cs="Times New Roman" w:eastAsia="Times New Roman"/>
          <w:color w:val="auto"/>
          <w:spacing w:val="5"/>
          <w:position w:val="0"/>
          <w:sz w:val="24"/>
          <w:shd w:fill="auto" w:val="clear"/>
        </w:rPr>
        <w:t xml:space="preserve">о</w:t>
      </w:r>
      <w:r>
        <w:rPr>
          <w:rFonts w:ascii="Times New Roman" w:hAnsi="Times New Roman" w:cs="Times New Roman" w:eastAsia="Times New Roman"/>
          <w:color w:val="auto"/>
          <w:spacing w:val="-1"/>
          <w:position w:val="0"/>
          <w:sz w:val="24"/>
          <w:shd w:fill="auto" w:val="clear"/>
        </w:rPr>
        <w:t xml:space="preserve">в</w:t>
      </w:r>
      <w:r>
        <w:rPr>
          <w:rFonts w:ascii="Times New Roman" w:hAnsi="Times New Roman" w:cs="Times New Roman" w:eastAsia="Times New Roman"/>
          <w:color w:val="auto"/>
          <w:spacing w:val="0"/>
          <w:position w:val="0"/>
          <w:sz w:val="24"/>
          <w:shd w:fill="auto" w:val="clear"/>
        </w:rPr>
        <w:t xml:space="preserve">а </w:t>
      </w:r>
      <w:r>
        <w:rPr>
          <w:rFonts w:ascii="Times New Roman" w:hAnsi="Times New Roman" w:cs="Times New Roman" w:eastAsia="Times New Roman"/>
          <w:color w:val="auto"/>
          <w:spacing w:val="-1"/>
          <w:position w:val="0"/>
          <w:sz w:val="24"/>
          <w:shd w:fill="auto" w:val="clear"/>
        </w:rPr>
        <w:t xml:space="preserve">струк</w:t>
      </w:r>
      <w:r>
        <w:rPr>
          <w:rFonts w:ascii="Times New Roman" w:hAnsi="Times New Roman" w:cs="Times New Roman" w:eastAsia="Times New Roman"/>
          <w:color w:val="auto"/>
          <w:spacing w:val="8"/>
          <w:position w:val="0"/>
          <w:sz w:val="24"/>
          <w:shd w:fill="auto" w:val="clear"/>
        </w:rPr>
        <w:t xml:space="preserve">т</w:t>
      </w:r>
      <w:r>
        <w:rPr>
          <w:rFonts w:ascii="Times New Roman" w:hAnsi="Times New Roman" w:cs="Times New Roman" w:eastAsia="Times New Roman"/>
          <w:color w:val="auto"/>
          <w:spacing w:val="-10"/>
          <w:position w:val="0"/>
          <w:sz w:val="24"/>
          <w:shd w:fill="auto" w:val="clear"/>
        </w:rPr>
        <w:t xml:space="preserve">у</w:t>
      </w:r>
      <w:r>
        <w:rPr>
          <w:rFonts w:ascii="Times New Roman" w:hAnsi="Times New Roman" w:cs="Times New Roman" w:eastAsia="Times New Roman"/>
          <w:color w:val="auto"/>
          <w:spacing w:val="-1"/>
          <w:position w:val="0"/>
          <w:sz w:val="24"/>
          <w:shd w:fill="auto" w:val="clear"/>
        </w:rPr>
        <w:t xml:space="preserve">р</w:t>
      </w:r>
      <w:r>
        <w:rPr>
          <w:rFonts w:ascii="Times New Roman" w:hAnsi="Times New Roman" w:cs="Times New Roman" w:eastAsia="Times New Roman"/>
          <w:color w:val="auto"/>
          <w:spacing w:val="3"/>
          <w:position w:val="0"/>
          <w:sz w:val="24"/>
          <w:shd w:fill="auto" w:val="clear"/>
        </w:rPr>
        <w:t xml:space="preserve">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От</w:t>
      </w:r>
      <w:r>
        <w:rPr>
          <w:rFonts w:ascii="Times New Roman" w:hAnsi="Times New Roman" w:cs="Times New Roman" w:eastAsia="Times New Roman"/>
          <w:color w:val="auto"/>
          <w:spacing w:val="3"/>
          <w:position w:val="0"/>
          <w:sz w:val="24"/>
          <w:shd w:fill="auto" w:val="clear"/>
        </w:rPr>
        <w:t xml:space="preserve">н</w:t>
      </w:r>
      <w:r>
        <w:rPr>
          <w:rFonts w:ascii="Times New Roman" w:hAnsi="Times New Roman" w:cs="Times New Roman" w:eastAsia="Times New Roman"/>
          <w:color w:val="auto"/>
          <w:spacing w:val="5"/>
          <w:position w:val="0"/>
          <w:sz w:val="24"/>
          <w:shd w:fill="auto" w:val="clear"/>
        </w:rPr>
        <w:t xml:space="preserve">о</w:t>
      </w:r>
      <w:r>
        <w:rPr>
          <w:rFonts w:ascii="Times New Roman" w:hAnsi="Times New Roman" w:cs="Times New Roman" w:eastAsia="Times New Roman"/>
          <w:color w:val="auto"/>
          <w:spacing w:val="-1"/>
          <w:position w:val="0"/>
          <w:sz w:val="24"/>
          <w:shd w:fill="auto" w:val="clear"/>
        </w:rPr>
        <w:t xml:space="preserve">си</w:t>
      </w:r>
      <w:r>
        <w:rPr>
          <w:rFonts w:ascii="Times New Roman" w:hAnsi="Times New Roman" w:cs="Times New Roman" w:eastAsia="Times New Roman"/>
          <w:color w:val="auto"/>
          <w:spacing w:val="3"/>
          <w:position w:val="0"/>
          <w:sz w:val="24"/>
          <w:shd w:fill="auto" w:val="clear"/>
        </w:rPr>
        <w:t xml:space="preserve">т</w:t>
      </w:r>
      <w:r>
        <w:rPr>
          <w:rFonts w:ascii="Times New Roman" w:hAnsi="Times New Roman" w:cs="Times New Roman" w:eastAsia="Times New Roman"/>
          <w:color w:val="auto"/>
          <w:spacing w:val="-1"/>
          <w:position w:val="0"/>
          <w:sz w:val="24"/>
          <w:shd w:fill="auto" w:val="clear"/>
        </w:rPr>
        <w:t xml:space="preserve">елн</w:t>
      </w:r>
      <w:r>
        <w:rPr>
          <w:rFonts w:ascii="Times New Roman" w:hAnsi="Times New Roman" w:cs="Times New Roman" w:eastAsia="Times New Roman"/>
          <w:color w:val="auto"/>
          <w:spacing w:val="4"/>
          <w:position w:val="0"/>
          <w:sz w:val="24"/>
          <w:shd w:fill="auto" w:val="clear"/>
        </w:rPr>
        <w:t xml:space="preserve">и</w:t>
      </w:r>
      <w:r>
        <w:rPr>
          <w:rFonts w:ascii="Times New Roman" w:hAnsi="Times New Roman" w:cs="Times New Roman" w:eastAsia="Times New Roman"/>
          <w:color w:val="auto"/>
          <w:spacing w:val="-1"/>
          <w:position w:val="0"/>
          <w:sz w:val="24"/>
          <w:shd w:fill="auto" w:val="clear"/>
        </w:rPr>
        <w:t xml:space="preserve">я</w:t>
      </w:r>
      <w:r>
        <w:rPr>
          <w:rFonts w:ascii="Times New Roman" w:hAnsi="Times New Roman" w:cs="Times New Roman" w:eastAsia="Times New Roman"/>
          <w:color w:val="auto"/>
          <w:spacing w:val="0"/>
          <w:position w:val="0"/>
          <w:sz w:val="24"/>
          <w:shd w:fill="auto" w:val="clear"/>
        </w:rPr>
        <w:t xml:space="preserve">т</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дя</w:t>
      </w:r>
      <w:r>
        <w:rPr>
          <w:rFonts w:ascii="Times New Roman" w:hAnsi="Times New Roman" w:cs="Times New Roman" w:eastAsia="Times New Roman"/>
          <w:color w:val="auto"/>
          <w:spacing w:val="0"/>
          <w:position w:val="0"/>
          <w:sz w:val="24"/>
          <w:shd w:fill="auto" w:val="clear"/>
        </w:rPr>
        <w:t xml:space="preserve">л</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н</w:t>
      </w:r>
      <w:r>
        <w:rPr>
          <w:rFonts w:ascii="Times New Roman" w:hAnsi="Times New Roman" w:cs="Times New Roman" w:eastAsia="Times New Roman"/>
          <w:color w:val="auto"/>
          <w:spacing w:val="0"/>
          <w:position w:val="0"/>
          <w:sz w:val="24"/>
          <w:shd w:fill="auto" w:val="clear"/>
        </w:rPr>
        <w:t xml:space="preserve">а</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населе</w:t>
      </w:r>
      <w:r>
        <w:rPr>
          <w:rFonts w:ascii="Times New Roman" w:hAnsi="Times New Roman" w:cs="Times New Roman" w:eastAsia="Times New Roman"/>
          <w:color w:val="auto"/>
          <w:spacing w:val="4"/>
          <w:position w:val="0"/>
          <w:sz w:val="24"/>
          <w:shd w:fill="auto" w:val="clear"/>
        </w:rPr>
        <w:t xml:space="preserve">н</w:t>
      </w:r>
      <w:r>
        <w:rPr>
          <w:rFonts w:ascii="Times New Roman" w:hAnsi="Times New Roman" w:cs="Times New Roman" w:eastAsia="Times New Roman"/>
          <w:color w:val="auto"/>
          <w:spacing w:val="-1"/>
          <w:position w:val="0"/>
          <w:sz w:val="24"/>
          <w:shd w:fill="auto" w:val="clear"/>
        </w:rPr>
        <w:t xml:space="preserve">ие</w:t>
      </w:r>
      <w:r>
        <w:rPr>
          <w:rFonts w:ascii="Times New Roman" w:hAnsi="Times New Roman" w:cs="Times New Roman" w:eastAsia="Times New Roman"/>
          <w:color w:val="auto"/>
          <w:spacing w:val="3"/>
          <w:position w:val="0"/>
          <w:sz w:val="24"/>
          <w:shd w:fill="auto" w:val="clear"/>
        </w:rPr>
        <w:t xml:space="preserve">т</w:t>
      </w:r>
      <w:r>
        <w:rPr>
          <w:rFonts w:ascii="Times New Roman" w:hAnsi="Times New Roman" w:cs="Times New Roman" w:eastAsia="Times New Roman"/>
          <w:color w:val="auto"/>
          <w:spacing w:val="0"/>
          <w:position w:val="0"/>
          <w:sz w:val="24"/>
          <w:shd w:fill="auto" w:val="clear"/>
        </w:rPr>
        <w:t xml:space="preserve">о</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 </w:t>
      </w:r>
      <w:r>
        <w:rPr>
          <w:rFonts w:ascii="Times New Roman" w:hAnsi="Times New Roman" w:cs="Times New Roman" w:eastAsia="Times New Roman"/>
          <w:color w:val="auto"/>
          <w:spacing w:val="-1"/>
          <w:position w:val="0"/>
          <w:sz w:val="24"/>
          <w:shd w:fill="auto" w:val="clear"/>
        </w:rPr>
        <w:t xml:space="preserve">т</w:t>
      </w:r>
      <w:r>
        <w:rPr>
          <w:rFonts w:ascii="Times New Roman" w:hAnsi="Times New Roman" w:cs="Times New Roman" w:eastAsia="Times New Roman"/>
          <w:color w:val="auto"/>
          <w:spacing w:val="6"/>
          <w:position w:val="0"/>
          <w:sz w:val="24"/>
          <w:shd w:fill="auto" w:val="clear"/>
        </w:rPr>
        <w:t xml:space="preserve">р</w:t>
      </w:r>
      <w:r>
        <w:rPr>
          <w:rFonts w:ascii="Times New Roman" w:hAnsi="Times New Roman" w:cs="Times New Roman" w:eastAsia="Times New Roman"/>
          <w:color w:val="auto"/>
          <w:spacing w:val="-10"/>
          <w:position w:val="0"/>
          <w:sz w:val="24"/>
          <w:shd w:fill="auto" w:val="clear"/>
        </w:rPr>
        <w:t xml:space="preserve">у</w:t>
      </w:r>
      <w:r>
        <w:rPr>
          <w:rFonts w:ascii="Times New Roman" w:hAnsi="Times New Roman" w:cs="Times New Roman" w:eastAsia="Times New Roman"/>
          <w:color w:val="auto"/>
          <w:spacing w:val="-1"/>
          <w:position w:val="0"/>
          <w:sz w:val="24"/>
          <w:shd w:fill="auto" w:val="clear"/>
        </w:rPr>
        <w:t xml:space="preserve">д</w:t>
      </w:r>
      <w:r>
        <w:rPr>
          <w:rFonts w:ascii="Times New Roman" w:hAnsi="Times New Roman" w:cs="Times New Roman" w:eastAsia="Times New Roman"/>
          <w:color w:val="auto"/>
          <w:spacing w:val="3"/>
          <w:position w:val="0"/>
          <w:sz w:val="24"/>
          <w:shd w:fill="auto" w:val="clear"/>
        </w:rPr>
        <w:t xml:space="preserve">о</w:t>
      </w:r>
      <w:r>
        <w:rPr>
          <w:rFonts w:ascii="Times New Roman" w:hAnsi="Times New Roman" w:cs="Times New Roman" w:eastAsia="Times New Roman"/>
          <w:color w:val="auto"/>
          <w:spacing w:val="-1"/>
          <w:position w:val="0"/>
          <w:sz w:val="24"/>
          <w:shd w:fill="auto" w:val="clear"/>
        </w:rPr>
        <w:t xml:space="preserve">сп</w:t>
      </w:r>
      <w:r>
        <w:rPr>
          <w:rFonts w:ascii="Times New Roman" w:hAnsi="Times New Roman" w:cs="Times New Roman" w:eastAsia="Times New Roman"/>
          <w:color w:val="auto"/>
          <w:spacing w:val="7"/>
          <w:position w:val="0"/>
          <w:sz w:val="24"/>
          <w:shd w:fill="auto" w:val="clear"/>
        </w:rPr>
        <w:t xml:space="preserve">о</w:t>
      </w:r>
      <w:r>
        <w:rPr>
          <w:rFonts w:ascii="Times New Roman" w:hAnsi="Times New Roman" w:cs="Times New Roman" w:eastAsia="Times New Roman"/>
          <w:color w:val="auto"/>
          <w:spacing w:val="-6"/>
          <w:position w:val="0"/>
          <w:sz w:val="24"/>
          <w:shd w:fill="auto" w:val="clear"/>
        </w:rPr>
        <w:t xml:space="preserve">с</w:t>
      </w:r>
      <w:r>
        <w:rPr>
          <w:rFonts w:ascii="Times New Roman" w:hAnsi="Times New Roman" w:cs="Times New Roman" w:eastAsia="Times New Roman"/>
          <w:color w:val="auto"/>
          <w:spacing w:val="5"/>
          <w:position w:val="0"/>
          <w:sz w:val="24"/>
          <w:shd w:fill="auto" w:val="clear"/>
        </w:rPr>
        <w:t xml:space="preserve">о</w:t>
      </w:r>
      <w:r>
        <w:rPr>
          <w:rFonts w:ascii="Times New Roman" w:hAnsi="Times New Roman" w:cs="Times New Roman" w:eastAsia="Times New Roman"/>
          <w:color w:val="auto"/>
          <w:spacing w:val="-1"/>
          <w:position w:val="0"/>
          <w:sz w:val="24"/>
          <w:shd w:fill="auto" w:val="clear"/>
        </w:rPr>
        <w:t xml:space="preserve">бн</w:t>
      </w:r>
      <w:r>
        <w:rPr>
          <w:rFonts w:ascii="Times New Roman" w:hAnsi="Times New Roman" w:cs="Times New Roman" w:eastAsia="Times New Roman"/>
          <w:color w:val="auto"/>
          <w:spacing w:val="0"/>
          <w:position w:val="0"/>
          <w:sz w:val="24"/>
          <w:shd w:fill="auto" w:val="clear"/>
        </w:rPr>
        <w:t xml:space="preserve">а</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в</w:t>
      </w:r>
      <w:r>
        <w:rPr>
          <w:rFonts w:ascii="Times New Roman" w:hAnsi="Times New Roman" w:cs="Times New Roman" w:eastAsia="Times New Roman"/>
          <w:color w:val="auto"/>
          <w:spacing w:val="3"/>
          <w:position w:val="0"/>
          <w:sz w:val="24"/>
          <w:shd w:fill="auto" w:val="clear"/>
        </w:rPr>
        <w:t xml:space="preserve">ъ</w:t>
      </w:r>
      <w:r>
        <w:rPr>
          <w:rFonts w:ascii="Times New Roman" w:hAnsi="Times New Roman" w:cs="Times New Roman" w:eastAsia="Times New Roman"/>
          <w:color w:val="auto"/>
          <w:spacing w:val="-1"/>
          <w:position w:val="0"/>
          <w:sz w:val="24"/>
          <w:shd w:fill="auto" w:val="clear"/>
        </w:rPr>
        <w:t xml:space="preserve">зрас</w:t>
      </w:r>
      <w:r>
        <w:rPr>
          <w:rFonts w:ascii="Times New Roman" w:hAnsi="Times New Roman" w:cs="Times New Roman" w:eastAsia="Times New Roman"/>
          <w:color w:val="auto"/>
          <w:spacing w:val="0"/>
          <w:position w:val="0"/>
          <w:sz w:val="24"/>
          <w:shd w:fill="auto" w:val="clear"/>
        </w:rPr>
        <w:t xml:space="preserve">т</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на</w:t>
      </w:r>
      <w:r>
        <w:rPr>
          <w:rFonts w:ascii="Times New Roman" w:hAnsi="Times New Roman" w:cs="Times New Roman" w:eastAsia="Times New Roman"/>
          <w:color w:val="auto"/>
          <w:spacing w:val="4"/>
          <w:position w:val="0"/>
          <w:sz w:val="24"/>
          <w:shd w:fill="auto" w:val="clear"/>
        </w:rPr>
        <w:t xml:space="preserve">м</w:t>
      </w:r>
      <w:r>
        <w:rPr>
          <w:rFonts w:ascii="Times New Roman" w:hAnsi="Times New Roman" w:cs="Times New Roman" w:eastAsia="Times New Roman"/>
          <w:color w:val="auto"/>
          <w:spacing w:val="-1"/>
          <w:position w:val="0"/>
          <w:sz w:val="24"/>
          <w:shd w:fill="auto" w:val="clear"/>
        </w:rPr>
        <w:t xml:space="preserve">аляв</w:t>
      </w:r>
      <w:r>
        <w:rPr>
          <w:rFonts w:ascii="Times New Roman" w:hAnsi="Times New Roman" w:cs="Times New Roman" w:eastAsia="Times New Roman"/>
          <w:color w:val="auto"/>
          <w:spacing w:val="1"/>
          <w:position w:val="0"/>
          <w:sz w:val="24"/>
          <w:shd w:fill="auto" w:val="clear"/>
        </w:rPr>
        <w:t xml:space="preserve">а</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н</w:t>
      </w:r>
      <w:r>
        <w:rPr>
          <w:rFonts w:ascii="Times New Roman" w:hAnsi="Times New Roman" w:cs="Times New Roman" w:eastAsia="Times New Roman"/>
          <w:color w:val="auto"/>
          <w:spacing w:val="0"/>
          <w:position w:val="0"/>
          <w:sz w:val="24"/>
          <w:shd w:fill="auto" w:val="clear"/>
        </w:rPr>
        <w:t xml:space="preserve">а</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то</w:t>
      </w:r>
      <w:r>
        <w:rPr>
          <w:rFonts w:ascii="Times New Roman" w:hAnsi="Times New Roman" w:cs="Times New Roman" w:eastAsia="Times New Roman"/>
          <w:color w:val="auto"/>
          <w:spacing w:val="4"/>
          <w:position w:val="0"/>
          <w:sz w:val="24"/>
          <w:shd w:fill="auto" w:val="clear"/>
        </w:rPr>
        <w:t xml:space="preserve">в</w:t>
      </w:r>
      <w:r>
        <w:rPr>
          <w:rFonts w:ascii="Times New Roman" w:hAnsi="Times New Roman" w:cs="Times New Roman" w:eastAsia="Times New Roman"/>
          <w:color w:val="auto"/>
          <w:spacing w:val="0"/>
          <w:position w:val="0"/>
          <w:sz w:val="24"/>
          <w:shd w:fill="auto" w:val="clear"/>
        </w:rPr>
        <w:t xml:space="preserve">а в</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надт</w:t>
      </w:r>
      <w:r>
        <w:rPr>
          <w:rFonts w:ascii="Times New Roman" w:hAnsi="Times New Roman" w:cs="Times New Roman" w:eastAsia="Times New Roman"/>
          <w:color w:val="auto"/>
          <w:spacing w:val="7"/>
          <w:position w:val="0"/>
          <w:sz w:val="24"/>
          <w:shd w:fill="auto" w:val="clear"/>
        </w:rPr>
        <w:t xml:space="preserve">р</w:t>
      </w:r>
      <w:r>
        <w:rPr>
          <w:rFonts w:ascii="Times New Roman" w:hAnsi="Times New Roman" w:cs="Times New Roman" w:eastAsia="Times New Roman"/>
          <w:color w:val="auto"/>
          <w:spacing w:val="-5"/>
          <w:position w:val="0"/>
          <w:sz w:val="24"/>
          <w:shd w:fill="auto" w:val="clear"/>
        </w:rPr>
        <w:t xml:space="preserve">у</w:t>
      </w:r>
      <w:r>
        <w:rPr>
          <w:rFonts w:ascii="Times New Roman" w:hAnsi="Times New Roman" w:cs="Times New Roman" w:eastAsia="Times New Roman"/>
          <w:color w:val="auto"/>
          <w:spacing w:val="-1"/>
          <w:position w:val="0"/>
          <w:sz w:val="24"/>
          <w:shd w:fill="auto" w:val="clear"/>
        </w:rPr>
        <w:t xml:space="preserve">д</w:t>
      </w:r>
      <w:r>
        <w:rPr>
          <w:rFonts w:ascii="Times New Roman" w:hAnsi="Times New Roman" w:cs="Times New Roman" w:eastAsia="Times New Roman"/>
          <w:color w:val="auto"/>
          <w:spacing w:val="3"/>
          <w:position w:val="0"/>
          <w:sz w:val="24"/>
          <w:shd w:fill="auto" w:val="clear"/>
        </w:rPr>
        <w:t xml:space="preserve">о</w:t>
      </w:r>
      <w:r>
        <w:rPr>
          <w:rFonts w:ascii="Times New Roman" w:hAnsi="Times New Roman" w:cs="Times New Roman" w:eastAsia="Times New Roman"/>
          <w:color w:val="auto"/>
          <w:spacing w:val="-1"/>
          <w:position w:val="0"/>
          <w:sz w:val="24"/>
          <w:shd w:fill="auto" w:val="clear"/>
        </w:rPr>
        <w:t xml:space="preserve">сп</w:t>
      </w:r>
      <w:r>
        <w:rPr>
          <w:rFonts w:ascii="Times New Roman" w:hAnsi="Times New Roman" w:cs="Times New Roman" w:eastAsia="Times New Roman"/>
          <w:color w:val="auto"/>
          <w:spacing w:val="7"/>
          <w:position w:val="0"/>
          <w:sz w:val="24"/>
          <w:shd w:fill="auto" w:val="clear"/>
        </w:rPr>
        <w:t xml:space="preserve">о</w:t>
      </w:r>
      <w:r>
        <w:rPr>
          <w:rFonts w:ascii="Times New Roman" w:hAnsi="Times New Roman" w:cs="Times New Roman" w:eastAsia="Times New Roman"/>
          <w:color w:val="auto"/>
          <w:spacing w:val="-6"/>
          <w:position w:val="0"/>
          <w:sz w:val="24"/>
          <w:shd w:fill="auto" w:val="clear"/>
        </w:rPr>
        <w:t xml:space="preserve">с</w:t>
      </w:r>
      <w:r>
        <w:rPr>
          <w:rFonts w:ascii="Times New Roman" w:hAnsi="Times New Roman" w:cs="Times New Roman" w:eastAsia="Times New Roman"/>
          <w:color w:val="auto"/>
          <w:spacing w:val="5"/>
          <w:position w:val="0"/>
          <w:sz w:val="24"/>
          <w:shd w:fill="auto" w:val="clear"/>
        </w:rPr>
        <w:t xml:space="preserve">о</w:t>
      </w:r>
      <w:r>
        <w:rPr>
          <w:rFonts w:ascii="Times New Roman" w:hAnsi="Times New Roman" w:cs="Times New Roman" w:eastAsia="Times New Roman"/>
          <w:color w:val="auto"/>
          <w:spacing w:val="-1"/>
          <w:position w:val="0"/>
          <w:sz w:val="24"/>
          <w:shd w:fill="auto" w:val="clear"/>
        </w:rPr>
        <w:t xml:space="preserve">бн</w:t>
      </w:r>
      <w:r>
        <w:rPr>
          <w:rFonts w:ascii="Times New Roman" w:hAnsi="Times New Roman" w:cs="Times New Roman" w:eastAsia="Times New Roman"/>
          <w:color w:val="auto"/>
          <w:spacing w:val="0"/>
          <w:position w:val="0"/>
          <w:sz w:val="24"/>
          <w:shd w:fill="auto" w:val="clear"/>
        </w:rPr>
        <w:t xml:space="preserve">а</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възрас</w:t>
      </w:r>
      <w:r>
        <w:rPr>
          <w:rFonts w:ascii="Times New Roman" w:hAnsi="Times New Roman" w:cs="Times New Roman" w:eastAsia="Times New Roman"/>
          <w:color w:val="auto"/>
          <w:spacing w:val="0"/>
          <w:position w:val="0"/>
          <w:sz w:val="24"/>
          <w:shd w:fill="auto" w:val="clear"/>
        </w:rPr>
        <w:t xml:space="preserve">т</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с</w:t>
      </w:r>
      <w:r>
        <w:rPr>
          <w:rFonts w:ascii="Times New Roman" w:hAnsi="Times New Roman" w:cs="Times New Roman" w:eastAsia="Times New Roman"/>
          <w:color w:val="auto"/>
          <w:spacing w:val="0"/>
          <w:position w:val="0"/>
          <w:sz w:val="24"/>
          <w:shd w:fill="auto" w:val="clear"/>
        </w:rPr>
        <w:t xml:space="preserve">е</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10"/>
          <w:position w:val="0"/>
          <w:sz w:val="24"/>
          <w:shd w:fill="auto" w:val="clear"/>
        </w:rPr>
        <w:t xml:space="preserve">у</w:t>
      </w:r>
      <w:r>
        <w:rPr>
          <w:rFonts w:ascii="Times New Roman" w:hAnsi="Times New Roman" w:cs="Times New Roman" w:eastAsia="Times New Roman"/>
          <w:color w:val="auto"/>
          <w:spacing w:val="-1"/>
          <w:position w:val="0"/>
          <w:sz w:val="24"/>
          <w:shd w:fill="auto" w:val="clear"/>
        </w:rPr>
        <w:t xml:space="preserve">ве</w:t>
      </w:r>
      <w:r>
        <w:rPr>
          <w:rFonts w:ascii="Times New Roman" w:hAnsi="Times New Roman" w:cs="Times New Roman" w:eastAsia="Times New Roman"/>
          <w:color w:val="auto"/>
          <w:spacing w:val="3"/>
          <w:position w:val="0"/>
          <w:sz w:val="24"/>
          <w:shd w:fill="auto" w:val="clear"/>
        </w:rPr>
        <w:t xml:space="preserve">л</w:t>
      </w:r>
      <w:r>
        <w:rPr>
          <w:rFonts w:ascii="Times New Roman" w:hAnsi="Times New Roman" w:cs="Times New Roman" w:eastAsia="Times New Roman"/>
          <w:color w:val="auto"/>
          <w:spacing w:val="-1"/>
          <w:position w:val="0"/>
          <w:sz w:val="24"/>
          <w:shd w:fill="auto" w:val="clear"/>
        </w:rPr>
        <w:t xml:space="preserve">ича</w:t>
      </w:r>
      <w:r>
        <w:rPr>
          <w:rFonts w:ascii="Times New Roman" w:hAnsi="Times New Roman" w:cs="Times New Roman" w:eastAsia="Times New Roman"/>
          <w:color w:val="auto"/>
          <w:spacing w:val="4"/>
          <w:position w:val="0"/>
          <w:sz w:val="24"/>
          <w:shd w:fill="auto" w:val="clear"/>
        </w:rPr>
        <w:t xml:space="preserve">в</w:t>
      </w:r>
      <w:r>
        <w:rPr>
          <w:rFonts w:ascii="Times New Roman" w:hAnsi="Times New Roman" w:cs="Times New Roman" w:eastAsia="Times New Roman"/>
          <w:color w:val="auto"/>
          <w:spacing w:val="2"/>
          <w:position w:val="0"/>
          <w:sz w:val="24"/>
          <w:shd w:fill="auto" w:val="clear"/>
        </w:rPr>
        <w:t xml:space="preserve">а</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Д</w:t>
      </w:r>
      <w:r>
        <w:rPr>
          <w:rFonts w:ascii="Times New Roman" w:hAnsi="Times New Roman" w:cs="Times New Roman" w:eastAsia="Times New Roman"/>
          <w:color w:val="auto"/>
          <w:spacing w:val="-3"/>
          <w:position w:val="0"/>
          <w:sz w:val="24"/>
          <w:shd w:fill="auto" w:val="clear"/>
        </w:rPr>
        <w:t xml:space="preserve">е</w:t>
      </w:r>
      <w:r>
        <w:rPr>
          <w:rFonts w:ascii="Times New Roman" w:hAnsi="Times New Roman" w:cs="Times New Roman" w:eastAsia="Times New Roman"/>
          <w:color w:val="auto"/>
          <w:spacing w:val="2"/>
          <w:position w:val="0"/>
          <w:sz w:val="24"/>
          <w:shd w:fill="auto" w:val="clear"/>
        </w:rPr>
        <w:t xml:space="preserve">л</w:t>
      </w:r>
      <w:r>
        <w:rPr>
          <w:rFonts w:ascii="Times New Roman" w:hAnsi="Times New Roman" w:cs="Times New Roman" w:eastAsia="Times New Roman"/>
          <w:color w:val="auto"/>
          <w:spacing w:val="-6"/>
          <w:position w:val="0"/>
          <w:sz w:val="24"/>
          <w:shd w:fill="auto" w:val="clear"/>
        </w:rPr>
        <w:t xml:space="preserve">ъ</w:t>
      </w:r>
      <w:r>
        <w:rPr>
          <w:rFonts w:ascii="Times New Roman" w:hAnsi="Times New Roman" w:cs="Times New Roman" w:eastAsia="Times New Roman"/>
          <w:color w:val="auto"/>
          <w:spacing w:val="0"/>
          <w:position w:val="0"/>
          <w:sz w:val="24"/>
          <w:shd w:fill="auto" w:val="clear"/>
        </w:rPr>
        <w:t xml:space="preserve">т</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на </w:t>
      </w:r>
      <w:r>
        <w:rPr>
          <w:rFonts w:ascii="Times New Roman" w:hAnsi="Times New Roman" w:cs="Times New Roman" w:eastAsia="Times New Roman"/>
          <w:color w:val="auto"/>
          <w:spacing w:val="-1"/>
          <w:position w:val="0"/>
          <w:sz w:val="24"/>
          <w:shd w:fill="auto" w:val="clear"/>
        </w:rPr>
        <w:t xml:space="preserve">населе</w:t>
      </w:r>
      <w:r>
        <w:rPr>
          <w:rFonts w:ascii="Times New Roman" w:hAnsi="Times New Roman" w:cs="Times New Roman" w:eastAsia="Times New Roman"/>
          <w:color w:val="auto"/>
          <w:spacing w:val="4"/>
          <w:position w:val="0"/>
          <w:sz w:val="24"/>
          <w:shd w:fill="auto" w:val="clear"/>
        </w:rPr>
        <w:t xml:space="preserve">н</w:t>
      </w:r>
      <w:r>
        <w:rPr>
          <w:rFonts w:ascii="Times New Roman" w:hAnsi="Times New Roman" w:cs="Times New Roman" w:eastAsia="Times New Roman"/>
          <w:color w:val="auto"/>
          <w:spacing w:val="-1"/>
          <w:position w:val="0"/>
          <w:sz w:val="24"/>
          <w:shd w:fill="auto" w:val="clear"/>
        </w:rPr>
        <w:t xml:space="preserve">ие</w:t>
      </w:r>
      <w:r>
        <w:rPr>
          <w:rFonts w:ascii="Times New Roman" w:hAnsi="Times New Roman" w:cs="Times New Roman" w:eastAsia="Times New Roman"/>
          <w:color w:val="auto"/>
          <w:spacing w:val="3"/>
          <w:position w:val="0"/>
          <w:sz w:val="24"/>
          <w:shd w:fill="auto" w:val="clear"/>
        </w:rPr>
        <w:t xml:space="preserve">т</w:t>
      </w:r>
      <w:r>
        <w:rPr>
          <w:rFonts w:ascii="Times New Roman" w:hAnsi="Times New Roman" w:cs="Times New Roman" w:eastAsia="Times New Roman"/>
          <w:color w:val="auto"/>
          <w:spacing w:val="0"/>
          <w:position w:val="0"/>
          <w:sz w:val="24"/>
          <w:shd w:fill="auto" w:val="clear"/>
        </w:rPr>
        <w:t xml:space="preserve">о</w:t>
      </w:r>
      <w:r>
        <w:rPr>
          <w:rFonts w:ascii="Times New Roman" w:hAnsi="Times New Roman" w:cs="Times New Roman" w:eastAsia="Times New Roman"/>
          <w:color w:val="auto"/>
          <w:spacing w:val="2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по</w:t>
      </w:r>
      <w:r>
        <w:rPr>
          <w:rFonts w:ascii="Times New Roman" w:hAnsi="Times New Roman" w:cs="Times New Roman" w:eastAsia="Times New Roman"/>
          <w:color w:val="auto"/>
          <w:spacing w:val="0"/>
          <w:position w:val="0"/>
          <w:sz w:val="24"/>
          <w:shd w:fill="auto" w:val="clear"/>
        </w:rPr>
        <w:t xml:space="preserve">д</w:t>
      </w:r>
      <w:r>
        <w:rPr>
          <w:rFonts w:ascii="Times New Roman" w:hAnsi="Times New Roman" w:cs="Times New Roman" w:eastAsia="Times New Roman"/>
          <w:color w:val="auto"/>
          <w:spacing w:val="2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тр</w:t>
      </w:r>
      <w:r>
        <w:rPr>
          <w:rFonts w:ascii="Times New Roman" w:hAnsi="Times New Roman" w:cs="Times New Roman" w:eastAsia="Times New Roman"/>
          <w:color w:val="auto"/>
          <w:spacing w:val="-7"/>
          <w:position w:val="0"/>
          <w:sz w:val="24"/>
          <w:shd w:fill="auto" w:val="clear"/>
        </w:rPr>
        <w:t xml:space="preserve">у</w:t>
      </w:r>
      <w:r>
        <w:rPr>
          <w:rFonts w:ascii="Times New Roman" w:hAnsi="Times New Roman" w:cs="Times New Roman" w:eastAsia="Times New Roman"/>
          <w:color w:val="auto"/>
          <w:spacing w:val="-1"/>
          <w:position w:val="0"/>
          <w:sz w:val="24"/>
          <w:shd w:fill="auto" w:val="clear"/>
        </w:rPr>
        <w:t xml:space="preserve">д</w:t>
      </w:r>
      <w:r>
        <w:rPr>
          <w:rFonts w:ascii="Times New Roman" w:hAnsi="Times New Roman" w:cs="Times New Roman" w:eastAsia="Times New Roman"/>
          <w:color w:val="auto"/>
          <w:spacing w:val="3"/>
          <w:position w:val="0"/>
          <w:sz w:val="24"/>
          <w:shd w:fill="auto" w:val="clear"/>
        </w:rPr>
        <w:t xml:space="preserve">о</w:t>
      </w:r>
      <w:r>
        <w:rPr>
          <w:rFonts w:ascii="Times New Roman" w:hAnsi="Times New Roman" w:cs="Times New Roman" w:eastAsia="Times New Roman"/>
          <w:color w:val="auto"/>
          <w:spacing w:val="-1"/>
          <w:position w:val="0"/>
          <w:sz w:val="24"/>
          <w:shd w:fill="auto" w:val="clear"/>
        </w:rPr>
        <w:t xml:space="preserve">сп</w:t>
      </w:r>
      <w:r>
        <w:rPr>
          <w:rFonts w:ascii="Times New Roman" w:hAnsi="Times New Roman" w:cs="Times New Roman" w:eastAsia="Times New Roman"/>
          <w:color w:val="auto"/>
          <w:spacing w:val="7"/>
          <w:position w:val="0"/>
          <w:sz w:val="24"/>
          <w:shd w:fill="auto" w:val="clear"/>
        </w:rPr>
        <w:t xml:space="preserve">о</w:t>
      </w:r>
      <w:r>
        <w:rPr>
          <w:rFonts w:ascii="Times New Roman" w:hAnsi="Times New Roman" w:cs="Times New Roman" w:eastAsia="Times New Roman"/>
          <w:color w:val="auto"/>
          <w:spacing w:val="-1"/>
          <w:position w:val="0"/>
          <w:sz w:val="24"/>
          <w:shd w:fill="auto" w:val="clear"/>
        </w:rPr>
        <w:t xml:space="preserve">с</w:t>
      </w:r>
      <w:r>
        <w:rPr>
          <w:rFonts w:ascii="Times New Roman" w:hAnsi="Times New Roman" w:cs="Times New Roman" w:eastAsia="Times New Roman"/>
          <w:color w:val="auto"/>
          <w:spacing w:val="5"/>
          <w:position w:val="0"/>
          <w:sz w:val="24"/>
          <w:shd w:fill="auto" w:val="clear"/>
        </w:rPr>
        <w:t xml:space="preserve">о</w:t>
      </w:r>
      <w:r>
        <w:rPr>
          <w:rFonts w:ascii="Times New Roman" w:hAnsi="Times New Roman" w:cs="Times New Roman" w:eastAsia="Times New Roman"/>
          <w:color w:val="auto"/>
          <w:spacing w:val="-1"/>
          <w:position w:val="0"/>
          <w:sz w:val="24"/>
          <w:shd w:fill="auto" w:val="clear"/>
        </w:rPr>
        <w:t xml:space="preserve">бн</w:t>
      </w:r>
      <w:r>
        <w:rPr>
          <w:rFonts w:ascii="Times New Roman" w:hAnsi="Times New Roman" w:cs="Times New Roman" w:eastAsia="Times New Roman"/>
          <w:color w:val="auto"/>
          <w:spacing w:val="0"/>
          <w:position w:val="0"/>
          <w:sz w:val="24"/>
          <w:shd w:fill="auto" w:val="clear"/>
        </w:rPr>
        <w:t xml:space="preserve">а</w:t>
      </w:r>
      <w:r>
        <w:rPr>
          <w:rFonts w:ascii="Times New Roman" w:hAnsi="Times New Roman" w:cs="Times New Roman" w:eastAsia="Times New Roman"/>
          <w:color w:val="auto"/>
          <w:spacing w:val="17"/>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в</w:t>
      </w:r>
      <w:r>
        <w:rPr>
          <w:rFonts w:ascii="Times New Roman" w:hAnsi="Times New Roman" w:cs="Times New Roman" w:eastAsia="Times New Roman"/>
          <w:color w:val="auto"/>
          <w:spacing w:val="3"/>
          <w:position w:val="0"/>
          <w:sz w:val="24"/>
          <w:shd w:fill="auto" w:val="clear"/>
        </w:rPr>
        <w:t xml:space="preserve">ъ</w:t>
      </w:r>
      <w:r>
        <w:rPr>
          <w:rFonts w:ascii="Times New Roman" w:hAnsi="Times New Roman" w:cs="Times New Roman" w:eastAsia="Times New Roman"/>
          <w:color w:val="auto"/>
          <w:spacing w:val="-1"/>
          <w:position w:val="0"/>
          <w:sz w:val="24"/>
          <w:shd w:fill="auto" w:val="clear"/>
        </w:rPr>
        <w:t xml:space="preserve">зрас</w:t>
      </w:r>
      <w:r>
        <w:rPr>
          <w:rFonts w:ascii="Times New Roman" w:hAnsi="Times New Roman" w:cs="Times New Roman" w:eastAsia="Times New Roman"/>
          <w:color w:val="auto"/>
          <w:spacing w:val="0"/>
          <w:position w:val="0"/>
          <w:sz w:val="24"/>
          <w:shd w:fill="auto" w:val="clear"/>
        </w:rPr>
        <w:t xml:space="preserve">т</w:t>
      </w:r>
      <w:r>
        <w:rPr>
          <w:rFonts w:ascii="Times New Roman" w:hAnsi="Times New Roman" w:cs="Times New Roman" w:eastAsia="Times New Roman"/>
          <w:color w:val="auto"/>
          <w:spacing w:val="2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бележ</w:t>
      </w:r>
      <w:r>
        <w:rPr>
          <w:rFonts w:ascii="Times New Roman" w:hAnsi="Times New Roman" w:cs="Times New Roman" w:eastAsia="Times New Roman"/>
          <w:color w:val="auto"/>
          <w:spacing w:val="0"/>
          <w:position w:val="0"/>
          <w:sz w:val="24"/>
          <w:shd w:fill="auto" w:val="clear"/>
        </w:rPr>
        <w:t xml:space="preserve">и</w:t>
      </w:r>
      <w:r>
        <w:rPr>
          <w:rFonts w:ascii="Times New Roman" w:hAnsi="Times New Roman" w:cs="Times New Roman" w:eastAsia="Times New Roman"/>
          <w:color w:val="auto"/>
          <w:spacing w:val="2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тра</w:t>
      </w:r>
      <w:r>
        <w:rPr>
          <w:rFonts w:ascii="Times New Roman" w:hAnsi="Times New Roman" w:cs="Times New Roman" w:eastAsia="Times New Roman"/>
          <w:color w:val="auto"/>
          <w:spacing w:val="4"/>
          <w:position w:val="0"/>
          <w:sz w:val="24"/>
          <w:shd w:fill="auto" w:val="clear"/>
        </w:rPr>
        <w:t xml:space="preserve">й</w:t>
      </w:r>
      <w:r>
        <w:rPr>
          <w:rFonts w:ascii="Times New Roman" w:hAnsi="Times New Roman" w:cs="Times New Roman" w:eastAsia="Times New Roman"/>
          <w:color w:val="auto"/>
          <w:spacing w:val="-1"/>
          <w:position w:val="0"/>
          <w:sz w:val="24"/>
          <w:shd w:fill="auto" w:val="clear"/>
        </w:rPr>
        <w:t xml:space="preserve">н</w:t>
      </w:r>
      <w:r>
        <w:rPr>
          <w:rFonts w:ascii="Times New Roman" w:hAnsi="Times New Roman" w:cs="Times New Roman" w:eastAsia="Times New Roman"/>
          <w:color w:val="auto"/>
          <w:spacing w:val="0"/>
          <w:position w:val="0"/>
          <w:sz w:val="24"/>
          <w:shd w:fill="auto" w:val="clear"/>
        </w:rPr>
        <w:t xml:space="preserve">а</w:t>
      </w:r>
      <w:r>
        <w:rPr>
          <w:rFonts w:ascii="Times New Roman" w:hAnsi="Times New Roman" w:cs="Times New Roman" w:eastAsia="Times New Roman"/>
          <w:color w:val="auto"/>
          <w:spacing w:val="1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те</w:t>
      </w:r>
      <w:r>
        <w:rPr>
          <w:rFonts w:ascii="Times New Roman" w:hAnsi="Times New Roman" w:cs="Times New Roman" w:eastAsia="Times New Roman"/>
          <w:color w:val="auto"/>
          <w:spacing w:val="3"/>
          <w:position w:val="0"/>
          <w:sz w:val="24"/>
          <w:shd w:fill="auto" w:val="clear"/>
        </w:rPr>
        <w:t xml:space="preserve">н</w:t>
      </w:r>
      <w:r>
        <w:rPr>
          <w:rFonts w:ascii="Times New Roman" w:hAnsi="Times New Roman" w:cs="Times New Roman" w:eastAsia="Times New Roman"/>
          <w:color w:val="auto"/>
          <w:spacing w:val="-1"/>
          <w:position w:val="0"/>
          <w:sz w:val="24"/>
          <w:shd w:fill="auto" w:val="clear"/>
        </w:rPr>
        <w:t xml:space="preserve">денц</w:t>
      </w:r>
      <w:r>
        <w:rPr>
          <w:rFonts w:ascii="Times New Roman" w:hAnsi="Times New Roman" w:cs="Times New Roman" w:eastAsia="Times New Roman"/>
          <w:color w:val="auto"/>
          <w:spacing w:val="4"/>
          <w:position w:val="0"/>
          <w:sz w:val="24"/>
          <w:shd w:fill="auto" w:val="clear"/>
        </w:rPr>
        <w:t xml:space="preserve">и</w:t>
      </w:r>
      <w:r>
        <w:rPr>
          <w:rFonts w:ascii="Times New Roman" w:hAnsi="Times New Roman" w:cs="Times New Roman" w:eastAsia="Times New Roman"/>
          <w:color w:val="auto"/>
          <w:spacing w:val="0"/>
          <w:position w:val="0"/>
          <w:sz w:val="24"/>
          <w:shd w:fill="auto" w:val="clear"/>
        </w:rPr>
        <w:t xml:space="preserve">я</w:t>
      </w:r>
      <w:r>
        <w:rPr>
          <w:rFonts w:ascii="Times New Roman" w:hAnsi="Times New Roman" w:cs="Times New Roman" w:eastAsia="Times New Roman"/>
          <w:color w:val="auto"/>
          <w:spacing w:val="2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къ</w:t>
      </w:r>
      <w:r>
        <w:rPr>
          <w:rFonts w:ascii="Times New Roman" w:hAnsi="Times New Roman" w:cs="Times New Roman" w:eastAsia="Times New Roman"/>
          <w:color w:val="auto"/>
          <w:spacing w:val="0"/>
          <w:position w:val="0"/>
          <w:sz w:val="24"/>
          <w:shd w:fill="auto" w:val="clear"/>
        </w:rPr>
        <w:t xml:space="preserve">м</w:t>
      </w:r>
      <w:r>
        <w:rPr>
          <w:rFonts w:ascii="Times New Roman" w:hAnsi="Times New Roman" w:cs="Times New Roman" w:eastAsia="Times New Roman"/>
          <w:color w:val="auto"/>
          <w:spacing w:val="1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на</w:t>
      </w:r>
      <w:r>
        <w:rPr>
          <w:rFonts w:ascii="Times New Roman" w:hAnsi="Times New Roman" w:cs="Times New Roman" w:eastAsia="Times New Roman"/>
          <w:color w:val="auto"/>
          <w:spacing w:val="4"/>
          <w:position w:val="0"/>
          <w:sz w:val="24"/>
          <w:shd w:fill="auto" w:val="clear"/>
        </w:rPr>
        <w:t xml:space="preserve">м</w:t>
      </w:r>
      <w:r>
        <w:rPr>
          <w:rFonts w:ascii="Times New Roman" w:hAnsi="Times New Roman" w:cs="Times New Roman" w:eastAsia="Times New Roman"/>
          <w:color w:val="auto"/>
          <w:spacing w:val="-1"/>
          <w:position w:val="0"/>
          <w:sz w:val="24"/>
          <w:shd w:fill="auto" w:val="clear"/>
        </w:rPr>
        <w:t xml:space="preserve">аля</w:t>
      </w:r>
      <w:r>
        <w:rPr>
          <w:rFonts w:ascii="Times New Roman" w:hAnsi="Times New Roman" w:cs="Times New Roman" w:eastAsia="Times New Roman"/>
          <w:color w:val="auto"/>
          <w:spacing w:val="4"/>
          <w:position w:val="0"/>
          <w:sz w:val="24"/>
          <w:shd w:fill="auto" w:val="clear"/>
        </w:rPr>
        <w:t xml:space="preserve">в</w:t>
      </w:r>
      <w:r>
        <w:rPr>
          <w:rFonts w:ascii="Times New Roman" w:hAnsi="Times New Roman" w:cs="Times New Roman" w:eastAsia="Times New Roman"/>
          <w:color w:val="auto"/>
          <w:spacing w:val="-1"/>
          <w:position w:val="0"/>
          <w:sz w:val="24"/>
          <w:shd w:fill="auto" w:val="clear"/>
        </w:rPr>
        <w:t xml:space="preserve">ан</w:t>
      </w:r>
      <w:r>
        <w:rPr>
          <w:rFonts w:ascii="Times New Roman" w:hAnsi="Times New Roman" w:cs="Times New Roman" w:eastAsia="Times New Roman"/>
          <w:color w:val="auto"/>
          <w:spacing w:val="7"/>
          <w:position w:val="0"/>
          <w:sz w:val="24"/>
          <w:shd w:fill="auto" w:val="clear"/>
        </w:rPr>
        <w:t xml:space="preserve">е</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66"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Тен</w:t>
      </w:r>
      <w:r>
        <w:rPr>
          <w:rFonts w:ascii="Times New Roman" w:hAnsi="Times New Roman" w:cs="Times New Roman" w:eastAsia="Times New Roman"/>
          <w:color w:val="auto"/>
          <w:spacing w:val="-3"/>
          <w:position w:val="0"/>
          <w:sz w:val="24"/>
          <w:shd w:fill="auto" w:val="clear"/>
        </w:rPr>
        <w:t xml:space="preserve">д</w:t>
      </w:r>
      <w:r>
        <w:rPr>
          <w:rFonts w:ascii="Times New Roman" w:hAnsi="Times New Roman" w:cs="Times New Roman" w:eastAsia="Times New Roman"/>
          <w:color w:val="auto"/>
          <w:spacing w:val="1"/>
          <w:position w:val="0"/>
          <w:sz w:val="24"/>
          <w:shd w:fill="auto" w:val="clear"/>
        </w:rPr>
        <w:t xml:space="preserve">енция</w:t>
      </w:r>
      <w:r>
        <w:rPr>
          <w:rFonts w:ascii="Times New Roman" w:hAnsi="Times New Roman" w:cs="Times New Roman" w:eastAsia="Times New Roman"/>
          <w:color w:val="auto"/>
          <w:spacing w:val="-3"/>
          <w:position w:val="0"/>
          <w:sz w:val="24"/>
          <w:shd w:fill="auto" w:val="clear"/>
        </w:rPr>
        <w:t xml:space="preserve">т</w:t>
      </w:r>
      <w:r>
        <w:rPr>
          <w:rFonts w:ascii="Times New Roman" w:hAnsi="Times New Roman" w:cs="Times New Roman" w:eastAsia="Times New Roman"/>
          <w:color w:val="auto"/>
          <w:spacing w:val="0"/>
          <w:position w:val="0"/>
          <w:sz w:val="24"/>
          <w:shd w:fill="auto" w:val="clear"/>
        </w:rPr>
        <w:t xml:space="preserve">а </w:t>
      </w:r>
      <w:r>
        <w:rPr>
          <w:rFonts w:ascii="Times New Roman" w:hAnsi="Times New Roman" w:cs="Times New Roman" w:eastAsia="Times New Roman"/>
          <w:color w:val="auto"/>
          <w:spacing w:val="1"/>
          <w:position w:val="0"/>
          <w:sz w:val="24"/>
          <w:shd w:fill="auto" w:val="clear"/>
        </w:rPr>
        <w:t xml:space="preserve">н</w:t>
      </w:r>
      <w:r>
        <w:rPr>
          <w:rFonts w:ascii="Times New Roman" w:hAnsi="Times New Roman" w:cs="Times New Roman" w:eastAsia="Times New Roman"/>
          <w:color w:val="auto"/>
          <w:spacing w:val="0"/>
          <w:position w:val="0"/>
          <w:sz w:val="24"/>
          <w:shd w:fill="auto" w:val="clear"/>
        </w:rPr>
        <w:t xml:space="preserve">а </w:t>
      </w:r>
      <w:r>
        <w:rPr>
          <w:rFonts w:ascii="Times New Roman" w:hAnsi="Times New Roman" w:cs="Times New Roman" w:eastAsia="Times New Roman"/>
          <w:color w:val="auto"/>
          <w:spacing w:val="5"/>
          <w:position w:val="0"/>
          <w:sz w:val="24"/>
          <w:shd w:fill="auto" w:val="clear"/>
        </w:rPr>
        <w:t xml:space="preserve">о</w:t>
      </w:r>
      <w:r>
        <w:rPr>
          <w:rFonts w:ascii="Times New Roman" w:hAnsi="Times New Roman" w:cs="Times New Roman" w:eastAsia="Times New Roman"/>
          <w:color w:val="auto"/>
          <w:spacing w:val="1"/>
          <w:position w:val="0"/>
          <w:sz w:val="24"/>
          <w:shd w:fill="auto" w:val="clear"/>
        </w:rPr>
        <w:t xml:space="preserve">ст</w:t>
      </w:r>
      <w:r>
        <w:rPr>
          <w:rFonts w:ascii="Times New Roman" w:hAnsi="Times New Roman" w:cs="Times New Roman" w:eastAsia="Times New Roman"/>
          <w:color w:val="auto"/>
          <w:spacing w:val="-4"/>
          <w:position w:val="0"/>
          <w:sz w:val="24"/>
          <w:shd w:fill="auto" w:val="clear"/>
        </w:rPr>
        <w:t xml:space="preserve">а</w:t>
      </w:r>
      <w:r>
        <w:rPr>
          <w:rFonts w:ascii="Times New Roman" w:hAnsi="Times New Roman" w:cs="Times New Roman" w:eastAsia="Times New Roman"/>
          <w:color w:val="auto"/>
          <w:spacing w:val="1"/>
          <w:position w:val="0"/>
          <w:sz w:val="24"/>
          <w:shd w:fill="auto" w:val="clear"/>
        </w:rPr>
        <w:t xml:space="preserve">ряв</w:t>
      </w:r>
      <w:r>
        <w:rPr>
          <w:rFonts w:ascii="Times New Roman" w:hAnsi="Times New Roman" w:cs="Times New Roman" w:eastAsia="Times New Roman"/>
          <w:color w:val="auto"/>
          <w:spacing w:val="-7"/>
          <w:position w:val="0"/>
          <w:sz w:val="24"/>
          <w:shd w:fill="auto" w:val="clear"/>
        </w:rPr>
        <w:t xml:space="preserve">а</w:t>
      </w:r>
      <w:r>
        <w:rPr>
          <w:rFonts w:ascii="Times New Roman" w:hAnsi="Times New Roman" w:cs="Times New Roman" w:eastAsia="Times New Roman"/>
          <w:color w:val="auto"/>
          <w:spacing w:val="1"/>
          <w:position w:val="0"/>
          <w:sz w:val="24"/>
          <w:shd w:fill="auto" w:val="clear"/>
        </w:rPr>
        <w:t xml:space="preserve">н</w:t>
      </w:r>
      <w:r>
        <w:rPr>
          <w:rFonts w:ascii="Times New Roman" w:hAnsi="Times New Roman" w:cs="Times New Roman" w:eastAsia="Times New Roman"/>
          <w:color w:val="auto"/>
          <w:spacing w:val="0"/>
          <w:position w:val="0"/>
          <w:sz w:val="24"/>
          <w:shd w:fill="auto" w:val="clear"/>
        </w:rPr>
        <w:t xml:space="preserve">е </w:t>
      </w:r>
      <w:r>
        <w:rPr>
          <w:rFonts w:ascii="Times New Roman" w:hAnsi="Times New Roman" w:cs="Times New Roman" w:eastAsia="Times New Roman"/>
          <w:color w:val="auto"/>
          <w:spacing w:val="1"/>
          <w:position w:val="0"/>
          <w:sz w:val="24"/>
          <w:shd w:fill="auto" w:val="clear"/>
        </w:rPr>
        <w:t xml:space="preserve">н</w:t>
      </w:r>
      <w:r>
        <w:rPr>
          <w:rFonts w:ascii="Times New Roman" w:hAnsi="Times New Roman" w:cs="Times New Roman" w:eastAsia="Times New Roman"/>
          <w:color w:val="auto"/>
          <w:spacing w:val="0"/>
          <w:position w:val="0"/>
          <w:sz w:val="24"/>
          <w:shd w:fill="auto" w:val="clear"/>
        </w:rPr>
        <w:t xml:space="preserve">а</w:t>
      </w:r>
      <w:r>
        <w:rPr>
          <w:rFonts w:ascii="Times New Roman" w:hAnsi="Times New Roman" w:cs="Times New Roman" w:eastAsia="Times New Roman"/>
          <w:color w:val="auto"/>
          <w:spacing w:val="1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на</w:t>
      </w:r>
      <w:r>
        <w:rPr>
          <w:rFonts w:ascii="Times New Roman" w:hAnsi="Times New Roman" w:cs="Times New Roman" w:eastAsia="Times New Roman"/>
          <w:color w:val="auto"/>
          <w:spacing w:val="-3"/>
          <w:position w:val="0"/>
          <w:sz w:val="24"/>
          <w:shd w:fill="auto" w:val="clear"/>
        </w:rPr>
        <w:t xml:space="preserve">с</w:t>
      </w:r>
      <w:r>
        <w:rPr>
          <w:rFonts w:ascii="Times New Roman" w:hAnsi="Times New Roman" w:cs="Times New Roman" w:eastAsia="Times New Roman"/>
          <w:color w:val="auto"/>
          <w:spacing w:val="1"/>
          <w:position w:val="0"/>
          <w:sz w:val="24"/>
          <w:shd w:fill="auto" w:val="clear"/>
        </w:rPr>
        <w:t xml:space="preserve">ел</w:t>
      </w:r>
      <w:r>
        <w:rPr>
          <w:rFonts w:ascii="Times New Roman" w:hAnsi="Times New Roman" w:cs="Times New Roman" w:eastAsia="Times New Roman"/>
          <w:color w:val="auto"/>
          <w:spacing w:val="-4"/>
          <w:position w:val="0"/>
          <w:sz w:val="24"/>
          <w:shd w:fill="auto" w:val="clear"/>
        </w:rPr>
        <w:t xml:space="preserve">е</w:t>
      </w:r>
      <w:r>
        <w:rPr>
          <w:rFonts w:ascii="Times New Roman" w:hAnsi="Times New Roman" w:cs="Times New Roman" w:eastAsia="Times New Roman"/>
          <w:color w:val="auto"/>
          <w:spacing w:val="1"/>
          <w:position w:val="0"/>
          <w:sz w:val="24"/>
          <w:shd w:fill="auto" w:val="clear"/>
        </w:rPr>
        <w:t xml:space="preserve">ние</w:t>
      </w:r>
      <w:r>
        <w:rPr>
          <w:rFonts w:ascii="Times New Roman" w:hAnsi="Times New Roman" w:cs="Times New Roman" w:eastAsia="Times New Roman"/>
          <w:color w:val="auto"/>
          <w:spacing w:val="-6"/>
          <w:position w:val="0"/>
          <w:sz w:val="24"/>
          <w:shd w:fill="auto" w:val="clear"/>
        </w:rPr>
        <w:t xml:space="preserve">т</w:t>
      </w:r>
      <w:r>
        <w:rPr>
          <w:rFonts w:ascii="Times New Roman" w:hAnsi="Times New Roman" w:cs="Times New Roman" w:eastAsia="Times New Roman"/>
          <w:color w:val="auto"/>
          <w:spacing w:val="0"/>
          <w:position w:val="0"/>
          <w:sz w:val="24"/>
          <w:shd w:fill="auto" w:val="clear"/>
        </w:rPr>
        <w:t xml:space="preserve">о </w:t>
      </w:r>
      <w:r>
        <w:rPr>
          <w:rFonts w:ascii="Times New Roman" w:hAnsi="Times New Roman" w:cs="Times New Roman" w:eastAsia="Times New Roman"/>
          <w:color w:val="auto"/>
          <w:spacing w:val="1"/>
          <w:position w:val="0"/>
          <w:sz w:val="24"/>
          <w:shd w:fill="auto" w:val="clear"/>
        </w:rPr>
        <w:t xml:space="preserve">довеж</w:t>
      </w:r>
      <w:r>
        <w:rPr>
          <w:rFonts w:ascii="Times New Roman" w:hAnsi="Times New Roman" w:cs="Times New Roman" w:eastAsia="Times New Roman"/>
          <w:color w:val="auto"/>
          <w:spacing w:val="-2"/>
          <w:position w:val="0"/>
          <w:sz w:val="24"/>
          <w:shd w:fill="auto" w:val="clear"/>
        </w:rPr>
        <w:t xml:space="preserve">д</w:t>
      </w:r>
      <w:r>
        <w:rPr>
          <w:rFonts w:ascii="Times New Roman" w:hAnsi="Times New Roman" w:cs="Times New Roman" w:eastAsia="Times New Roman"/>
          <w:color w:val="auto"/>
          <w:spacing w:val="0"/>
          <w:position w:val="0"/>
          <w:sz w:val="24"/>
          <w:shd w:fill="auto" w:val="clear"/>
        </w:rPr>
        <w:t xml:space="preserve">а</w:t>
      </w:r>
      <w:r>
        <w:rPr>
          <w:rFonts w:ascii="Times New Roman" w:hAnsi="Times New Roman" w:cs="Times New Roman" w:eastAsia="Times New Roman"/>
          <w:color w:val="auto"/>
          <w:spacing w:val="18"/>
          <w:position w:val="0"/>
          <w:sz w:val="24"/>
          <w:shd w:fill="auto" w:val="clear"/>
        </w:rPr>
        <w:t xml:space="preserve"> </w:t>
      </w:r>
      <w:r>
        <w:rPr>
          <w:rFonts w:ascii="Times New Roman" w:hAnsi="Times New Roman" w:cs="Times New Roman" w:eastAsia="Times New Roman"/>
          <w:color w:val="auto"/>
          <w:spacing w:val="-7"/>
          <w:position w:val="0"/>
          <w:sz w:val="24"/>
          <w:shd w:fill="auto" w:val="clear"/>
        </w:rPr>
        <w:t xml:space="preserve">д</w:t>
      </w:r>
      <w:r>
        <w:rPr>
          <w:rFonts w:ascii="Times New Roman" w:hAnsi="Times New Roman" w:cs="Times New Roman" w:eastAsia="Times New Roman"/>
          <w:color w:val="auto"/>
          <w:spacing w:val="0"/>
          <w:position w:val="0"/>
          <w:sz w:val="24"/>
          <w:shd w:fill="auto" w:val="clear"/>
        </w:rPr>
        <w:t xml:space="preserve">о</w:t>
      </w:r>
      <w:r>
        <w:rPr>
          <w:rFonts w:ascii="Times New Roman" w:hAnsi="Times New Roman" w:cs="Times New Roman" w:eastAsia="Times New Roman"/>
          <w:color w:val="auto"/>
          <w:spacing w:val="2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п</w:t>
      </w:r>
      <w:r>
        <w:rPr>
          <w:rFonts w:ascii="Times New Roman" w:hAnsi="Times New Roman" w:cs="Times New Roman" w:eastAsia="Times New Roman"/>
          <w:color w:val="auto"/>
          <w:spacing w:val="-5"/>
          <w:position w:val="0"/>
          <w:sz w:val="24"/>
          <w:shd w:fill="auto" w:val="clear"/>
        </w:rPr>
        <w:t xml:space="preserve">р</w:t>
      </w:r>
      <w:r>
        <w:rPr>
          <w:rFonts w:ascii="Times New Roman" w:hAnsi="Times New Roman" w:cs="Times New Roman" w:eastAsia="Times New Roman"/>
          <w:color w:val="auto"/>
          <w:spacing w:val="5"/>
          <w:position w:val="0"/>
          <w:sz w:val="24"/>
          <w:shd w:fill="auto" w:val="clear"/>
        </w:rPr>
        <w:t xml:space="preserve">о</w:t>
      </w:r>
      <w:r>
        <w:rPr>
          <w:rFonts w:ascii="Times New Roman" w:hAnsi="Times New Roman" w:cs="Times New Roman" w:eastAsia="Times New Roman"/>
          <w:color w:val="auto"/>
          <w:spacing w:val="1"/>
          <w:position w:val="0"/>
          <w:sz w:val="24"/>
          <w:shd w:fill="auto" w:val="clear"/>
        </w:rPr>
        <w:t xml:space="preserve">м</w:t>
      </w:r>
      <w:r>
        <w:rPr>
          <w:rFonts w:ascii="Times New Roman" w:hAnsi="Times New Roman" w:cs="Times New Roman" w:eastAsia="Times New Roman"/>
          <w:color w:val="auto"/>
          <w:spacing w:val="-5"/>
          <w:position w:val="0"/>
          <w:sz w:val="24"/>
          <w:shd w:fill="auto" w:val="clear"/>
        </w:rPr>
        <w:t xml:space="preserve">е</w:t>
      </w:r>
      <w:r>
        <w:rPr>
          <w:rFonts w:ascii="Times New Roman" w:hAnsi="Times New Roman" w:cs="Times New Roman" w:eastAsia="Times New Roman"/>
          <w:color w:val="auto"/>
          <w:spacing w:val="1"/>
          <w:position w:val="0"/>
          <w:sz w:val="24"/>
          <w:shd w:fill="auto" w:val="clear"/>
        </w:rPr>
        <w:t xml:space="preserve">н</w:t>
      </w:r>
      <w:r>
        <w:rPr>
          <w:rFonts w:ascii="Times New Roman" w:hAnsi="Times New Roman" w:cs="Times New Roman" w:eastAsia="Times New Roman"/>
          <w:color w:val="auto"/>
          <w:spacing w:val="0"/>
          <w:position w:val="0"/>
          <w:sz w:val="24"/>
          <w:shd w:fill="auto" w:val="clear"/>
        </w:rPr>
        <w:t xml:space="preserve">и в </w:t>
      </w:r>
      <w:r>
        <w:rPr>
          <w:rFonts w:ascii="Times New Roman" w:hAnsi="Times New Roman" w:cs="Times New Roman" w:eastAsia="Times New Roman"/>
          <w:color w:val="auto"/>
          <w:spacing w:val="1"/>
          <w:position w:val="0"/>
          <w:sz w:val="24"/>
          <w:shd w:fill="auto" w:val="clear"/>
        </w:rPr>
        <w:t xml:space="preserve">не</w:t>
      </w:r>
      <w:r>
        <w:rPr>
          <w:rFonts w:ascii="Times New Roman" w:hAnsi="Times New Roman" w:cs="Times New Roman" w:eastAsia="Times New Roman"/>
          <w:color w:val="auto"/>
          <w:spacing w:val="-5"/>
          <w:position w:val="0"/>
          <w:sz w:val="24"/>
          <w:shd w:fill="auto" w:val="clear"/>
        </w:rPr>
        <w:t xml:space="preserve">г</w:t>
      </w:r>
      <w:r>
        <w:rPr>
          <w:rFonts w:ascii="Times New Roman" w:hAnsi="Times New Roman" w:cs="Times New Roman" w:eastAsia="Times New Roman"/>
          <w:color w:val="auto"/>
          <w:spacing w:val="1"/>
          <w:position w:val="0"/>
          <w:sz w:val="24"/>
          <w:shd w:fill="auto" w:val="clear"/>
        </w:rPr>
        <w:t xml:space="preserve">оват</w:t>
      </w:r>
      <w:r>
        <w:rPr>
          <w:rFonts w:ascii="Times New Roman" w:hAnsi="Times New Roman" w:cs="Times New Roman" w:eastAsia="Times New Roman"/>
          <w:color w:val="auto"/>
          <w:spacing w:val="0"/>
          <w:position w:val="0"/>
          <w:sz w:val="24"/>
          <w:shd w:fill="auto" w:val="clear"/>
        </w:rPr>
        <w:t xml:space="preserve">а </w:t>
      </w:r>
      <w:r>
        <w:rPr>
          <w:rFonts w:ascii="Times New Roman" w:hAnsi="Times New Roman" w:cs="Times New Roman" w:eastAsia="Times New Roman"/>
          <w:color w:val="auto"/>
          <w:spacing w:val="5"/>
          <w:position w:val="0"/>
          <w:sz w:val="24"/>
          <w:shd w:fill="auto" w:val="clear"/>
        </w:rPr>
        <w:t xml:space="preserve">о</w:t>
      </w:r>
      <w:r>
        <w:rPr>
          <w:rFonts w:ascii="Times New Roman" w:hAnsi="Times New Roman" w:cs="Times New Roman" w:eastAsia="Times New Roman"/>
          <w:color w:val="auto"/>
          <w:spacing w:val="1"/>
          <w:position w:val="0"/>
          <w:sz w:val="24"/>
          <w:shd w:fill="auto" w:val="clear"/>
        </w:rPr>
        <w:t xml:space="preserve">с</w:t>
      </w:r>
      <w:r>
        <w:rPr>
          <w:rFonts w:ascii="Times New Roman" w:hAnsi="Times New Roman" w:cs="Times New Roman" w:eastAsia="Times New Roman"/>
          <w:color w:val="auto"/>
          <w:spacing w:val="-6"/>
          <w:position w:val="0"/>
          <w:sz w:val="24"/>
          <w:shd w:fill="auto" w:val="clear"/>
        </w:rPr>
        <w:t xml:space="preserve">н</w:t>
      </w:r>
      <w:r>
        <w:rPr>
          <w:rFonts w:ascii="Times New Roman" w:hAnsi="Times New Roman" w:cs="Times New Roman" w:eastAsia="Times New Roman"/>
          <w:color w:val="auto"/>
          <w:spacing w:val="5"/>
          <w:position w:val="0"/>
          <w:sz w:val="24"/>
          <w:shd w:fill="auto" w:val="clear"/>
        </w:rPr>
        <w:t xml:space="preserve">о</w:t>
      </w:r>
      <w:r>
        <w:rPr>
          <w:rFonts w:ascii="Times New Roman" w:hAnsi="Times New Roman" w:cs="Times New Roman" w:eastAsia="Times New Roman"/>
          <w:color w:val="auto"/>
          <w:spacing w:val="-3"/>
          <w:position w:val="0"/>
          <w:sz w:val="24"/>
          <w:shd w:fill="auto" w:val="clear"/>
        </w:rPr>
        <w:t xml:space="preserve">в</w:t>
      </w:r>
      <w:r>
        <w:rPr>
          <w:rFonts w:ascii="Times New Roman" w:hAnsi="Times New Roman" w:cs="Times New Roman" w:eastAsia="Times New Roman"/>
          <w:color w:val="auto"/>
          <w:spacing w:val="1"/>
          <w:position w:val="0"/>
          <w:sz w:val="24"/>
          <w:shd w:fill="auto" w:val="clear"/>
        </w:rPr>
        <w:t xml:space="preserve">на </w:t>
      </w:r>
      <w:r>
        <w:rPr>
          <w:rFonts w:ascii="Times New Roman" w:hAnsi="Times New Roman" w:cs="Times New Roman" w:eastAsia="Times New Roman"/>
          <w:color w:val="auto"/>
          <w:spacing w:val="-1"/>
          <w:position w:val="0"/>
          <w:sz w:val="24"/>
          <w:shd w:fill="auto" w:val="clear"/>
        </w:rPr>
        <w:t xml:space="preserve">в</w:t>
      </w:r>
      <w:r>
        <w:rPr>
          <w:rFonts w:ascii="Times New Roman" w:hAnsi="Times New Roman" w:cs="Times New Roman" w:eastAsia="Times New Roman"/>
          <w:color w:val="auto"/>
          <w:spacing w:val="3"/>
          <w:position w:val="0"/>
          <w:sz w:val="24"/>
          <w:shd w:fill="auto" w:val="clear"/>
        </w:rPr>
        <w:t xml:space="preserve">ъ</w:t>
      </w:r>
      <w:r>
        <w:rPr>
          <w:rFonts w:ascii="Times New Roman" w:hAnsi="Times New Roman" w:cs="Times New Roman" w:eastAsia="Times New Roman"/>
          <w:color w:val="auto"/>
          <w:spacing w:val="-1"/>
          <w:position w:val="0"/>
          <w:sz w:val="24"/>
          <w:shd w:fill="auto" w:val="clear"/>
        </w:rPr>
        <w:t xml:space="preserve">зраст</w:t>
      </w:r>
      <w:r>
        <w:rPr>
          <w:rFonts w:ascii="Times New Roman" w:hAnsi="Times New Roman" w:cs="Times New Roman" w:eastAsia="Times New Roman"/>
          <w:color w:val="auto"/>
          <w:spacing w:val="3"/>
          <w:position w:val="0"/>
          <w:sz w:val="24"/>
          <w:shd w:fill="auto" w:val="clear"/>
        </w:rPr>
        <w:t xml:space="preserve">о</w:t>
      </w:r>
      <w:r>
        <w:rPr>
          <w:rFonts w:ascii="Times New Roman" w:hAnsi="Times New Roman" w:cs="Times New Roman" w:eastAsia="Times New Roman"/>
          <w:color w:val="auto"/>
          <w:spacing w:val="-1"/>
          <w:position w:val="0"/>
          <w:sz w:val="24"/>
          <w:shd w:fill="auto" w:val="clear"/>
        </w:rPr>
        <w:t xml:space="preserve">в</w:t>
      </w:r>
      <w:r>
        <w:rPr>
          <w:rFonts w:ascii="Times New Roman" w:hAnsi="Times New Roman" w:cs="Times New Roman" w:eastAsia="Times New Roman"/>
          <w:color w:val="auto"/>
          <w:spacing w:val="0"/>
          <w:position w:val="0"/>
          <w:sz w:val="24"/>
          <w:shd w:fill="auto" w:val="clear"/>
        </w:rPr>
        <w:t xml:space="preserve">а</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стр</w:t>
      </w:r>
      <w:r>
        <w:rPr>
          <w:rFonts w:ascii="Times New Roman" w:hAnsi="Times New Roman" w:cs="Times New Roman" w:eastAsia="Times New Roman"/>
          <w:color w:val="auto"/>
          <w:spacing w:val="-8"/>
          <w:position w:val="0"/>
          <w:sz w:val="24"/>
          <w:shd w:fill="auto" w:val="clear"/>
        </w:rPr>
        <w:t xml:space="preserve">у</w:t>
      </w:r>
      <w:r>
        <w:rPr>
          <w:rFonts w:ascii="Times New Roman" w:hAnsi="Times New Roman" w:cs="Times New Roman" w:eastAsia="Times New Roman"/>
          <w:color w:val="auto"/>
          <w:spacing w:val="-1"/>
          <w:position w:val="0"/>
          <w:sz w:val="24"/>
          <w:shd w:fill="auto" w:val="clear"/>
        </w:rPr>
        <w:t xml:space="preserve">к</w:t>
      </w:r>
      <w:r>
        <w:rPr>
          <w:rFonts w:ascii="Times New Roman" w:hAnsi="Times New Roman" w:cs="Times New Roman" w:eastAsia="Times New Roman"/>
          <w:color w:val="auto"/>
          <w:spacing w:val="4"/>
          <w:position w:val="0"/>
          <w:sz w:val="24"/>
          <w:shd w:fill="auto" w:val="clear"/>
        </w:rPr>
        <w:t xml:space="preserve">т</w:t>
      </w:r>
      <w:r>
        <w:rPr>
          <w:rFonts w:ascii="Times New Roman" w:hAnsi="Times New Roman" w:cs="Times New Roman" w:eastAsia="Times New Roman"/>
          <w:color w:val="auto"/>
          <w:spacing w:val="-5"/>
          <w:position w:val="0"/>
          <w:sz w:val="24"/>
          <w:shd w:fill="auto" w:val="clear"/>
        </w:rPr>
        <w:t xml:space="preserve">у</w:t>
      </w:r>
      <w:r>
        <w:rPr>
          <w:rFonts w:ascii="Times New Roman" w:hAnsi="Times New Roman" w:cs="Times New Roman" w:eastAsia="Times New Roman"/>
          <w:color w:val="auto"/>
          <w:spacing w:val="-1"/>
          <w:position w:val="0"/>
          <w:sz w:val="24"/>
          <w:shd w:fill="auto" w:val="clear"/>
        </w:rPr>
        <w:t xml:space="preserve">р</w:t>
      </w:r>
      <w:r>
        <w:rPr>
          <w:rFonts w:ascii="Times New Roman" w:hAnsi="Times New Roman" w:cs="Times New Roman" w:eastAsia="Times New Roman"/>
          <w:color w:val="auto"/>
          <w:spacing w:val="0"/>
          <w:position w:val="0"/>
          <w:sz w:val="24"/>
          <w:shd w:fill="auto" w:val="clear"/>
        </w:rPr>
        <w:t xml:space="preserve">а</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раз</w:t>
      </w:r>
      <w:r>
        <w:rPr>
          <w:rFonts w:ascii="Times New Roman" w:hAnsi="Times New Roman" w:cs="Times New Roman" w:eastAsia="Times New Roman"/>
          <w:color w:val="auto"/>
          <w:spacing w:val="3"/>
          <w:position w:val="0"/>
          <w:sz w:val="24"/>
          <w:shd w:fill="auto" w:val="clear"/>
        </w:rPr>
        <w:t xml:space="preserve">п</w:t>
      </w:r>
      <w:r>
        <w:rPr>
          <w:rFonts w:ascii="Times New Roman" w:hAnsi="Times New Roman" w:cs="Times New Roman" w:eastAsia="Times New Roman"/>
          <w:color w:val="auto"/>
          <w:spacing w:val="-1"/>
          <w:position w:val="0"/>
          <w:sz w:val="24"/>
          <w:shd w:fill="auto" w:val="clear"/>
        </w:rPr>
        <w:t xml:space="preserve">ределени</w:t>
      </w:r>
      <w:r>
        <w:rPr>
          <w:rFonts w:ascii="Times New Roman" w:hAnsi="Times New Roman" w:cs="Times New Roman" w:eastAsia="Times New Roman"/>
          <w:color w:val="auto"/>
          <w:spacing w:val="0"/>
          <w:position w:val="0"/>
          <w:sz w:val="24"/>
          <w:shd w:fill="auto" w:val="clear"/>
        </w:rPr>
        <w:t xml:space="preserve">е</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н</w:t>
      </w:r>
      <w:r>
        <w:rPr>
          <w:rFonts w:ascii="Times New Roman" w:hAnsi="Times New Roman" w:cs="Times New Roman" w:eastAsia="Times New Roman"/>
          <w:color w:val="auto"/>
          <w:spacing w:val="0"/>
          <w:position w:val="0"/>
          <w:sz w:val="24"/>
          <w:shd w:fill="auto" w:val="clear"/>
        </w:rPr>
        <w:t xml:space="preserve">а</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населен</w:t>
      </w:r>
      <w:r>
        <w:rPr>
          <w:rFonts w:ascii="Times New Roman" w:hAnsi="Times New Roman" w:cs="Times New Roman" w:eastAsia="Times New Roman"/>
          <w:color w:val="auto"/>
          <w:spacing w:val="4"/>
          <w:position w:val="0"/>
          <w:sz w:val="24"/>
          <w:shd w:fill="auto" w:val="clear"/>
        </w:rPr>
        <w:t xml:space="preserve">и</w:t>
      </w:r>
      <w:r>
        <w:rPr>
          <w:rFonts w:ascii="Times New Roman" w:hAnsi="Times New Roman" w:cs="Times New Roman" w:eastAsia="Times New Roman"/>
          <w:color w:val="auto"/>
          <w:spacing w:val="-1"/>
          <w:position w:val="0"/>
          <w:sz w:val="24"/>
          <w:shd w:fill="auto" w:val="clear"/>
        </w:rPr>
        <w:t xml:space="preserve">ет</w:t>
      </w:r>
      <w:r>
        <w:rPr>
          <w:rFonts w:ascii="Times New Roman" w:hAnsi="Times New Roman" w:cs="Times New Roman" w:eastAsia="Times New Roman"/>
          <w:color w:val="auto"/>
          <w:spacing w:val="0"/>
          <w:position w:val="0"/>
          <w:sz w:val="24"/>
          <w:shd w:fill="auto" w:val="clear"/>
        </w:rPr>
        <w:t xml:space="preserve">о</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по</w:t>
      </w:r>
      <w:r>
        <w:rPr>
          <w:rFonts w:ascii="Times New Roman" w:hAnsi="Times New Roman" w:cs="Times New Roman" w:eastAsia="Times New Roman"/>
          <w:color w:val="auto"/>
          <w:spacing w:val="1"/>
          <w:position w:val="0"/>
          <w:sz w:val="24"/>
          <w:shd w:fill="auto" w:val="clear"/>
        </w:rPr>
        <w:t xml:space="preserve">д</w:t>
      </w:r>
      <w:r>
        <w:rPr>
          <w:rFonts w:ascii="Times New Roman" w:hAnsi="Times New Roman" w:cs="Times New Roman" w:eastAsia="Times New Roman"/>
          <w:color w:val="auto"/>
          <w:spacing w:val="0"/>
          <w:position w:val="0"/>
          <w:sz w:val="24"/>
          <w:shd w:fill="auto" w:val="clear"/>
        </w:rPr>
        <w:t xml:space="preserve">, в</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надтр</w:t>
      </w:r>
      <w:r>
        <w:rPr>
          <w:rFonts w:ascii="Times New Roman" w:hAnsi="Times New Roman" w:cs="Times New Roman" w:eastAsia="Times New Roman"/>
          <w:color w:val="auto"/>
          <w:spacing w:val="-8"/>
          <w:position w:val="0"/>
          <w:sz w:val="24"/>
          <w:shd w:fill="auto" w:val="clear"/>
        </w:rPr>
        <w:t xml:space="preserve">у</w:t>
      </w:r>
      <w:r>
        <w:rPr>
          <w:rFonts w:ascii="Times New Roman" w:hAnsi="Times New Roman" w:cs="Times New Roman" w:eastAsia="Times New Roman"/>
          <w:color w:val="auto"/>
          <w:spacing w:val="-1"/>
          <w:position w:val="0"/>
          <w:sz w:val="24"/>
          <w:shd w:fill="auto" w:val="clear"/>
        </w:rPr>
        <w:t xml:space="preserve">д</w:t>
      </w:r>
      <w:r>
        <w:rPr>
          <w:rFonts w:ascii="Times New Roman" w:hAnsi="Times New Roman" w:cs="Times New Roman" w:eastAsia="Times New Roman"/>
          <w:color w:val="auto"/>
          <w:spacing w:val="3"/>
          <w:position w:val="0"/>
          <w:sz w:val="24"/>
          <w:shd w:fill="auto" w:val="clear"/>
        </w:rPr>
        <w:t xml:space="preserve">о</w:t>
      </w:r>
      <w:r>
        <w:rPr>
          <w:rFonts w:ascii="Times New Roman" w:hAnsi="Times New Roman" w:cs="Times New Roman" w:eastAsia="Times New Roman"/>
          <w:color w:val="auto"/>
          <w:spacing w:val="-1"/>
          <w:position w:val="0"/>
          <w:sz w:val="24"/>
          <w:shd w:fill="auto" w:val="clear"/>
        </w:rPr>
        <w:t xml:space="preserve">сп</w:t>
      </w:r>
      <w:r>
        <w:rPr>
          <w:rFonts w:ascii="Times New Roman" w:hAnsi="Times New Roman" w:cs="Times New Roman" w:eastAsia="Times New Roman"/>
          <w:color w:val="auto"/>
          <w:spacing w:val="6"/>
          <w:position w:val="0"/>
          <w:sz w:val="24"/>
          <w:shd w:fill="auto" w:val="clear"/>
        </w:rPr>
        <w:t xml:space="preserve">о</w:t>
      </w:r>
      <w:r>
        <w:rPr>
          <w:rFonts w:ascii="Times New Roman" w:hAnsi="Times New Roman" w:cs="Times New Roman" w:eastAsia="Times New Roman"/>
          <w:color w:val="auto"/>
          <w:spacing w:val="-1"/>
          <w:position w:val="0"/>
          <w:sz w:val="24"/>
          <w:shd w:fill="auto" w:val="clear"/>
        </w:rPr>
        <w:t xml:space="preserve">с</w:t>
      </w:r>
      <w:r>
        <w:rPr>
          <w:rFonts w:ascii="Times New Roman" w:hAnsi="Times New Roman" w:cs="Times New Roman" w:eastAsia="Times New Roman"/>
          <w:color w:val="auto"/>
          <w:spacing w:val="4"/>
          <w:position w:val="0"/>
          <w:sz w:val="24"/>
          <w:shd w:fill="auto" w:val="clear"/>
        </w:rPr>
        <w:t xml:space="preserve">о</w:t>
      </w:r>
      <w:r>
        <w:rPr>
          <w:rFonts w:ascii="Times New Roman" w:hAnsi="Times New Roman" w:cs="Times New Roman" w:eastAsia="Times New Roman"/>
          <w:color w:val="auto"/>
          <w:spacing w:val="-1"/>
          <w:position w:val="0"/>
          <w:sz w:val="24"/>
          <w:shd w:fill="auto" w:val="clear"/>
        </w:rPr>
        <w:t xml:space="preserve">бн</w:t>
      </w:r>
      <w:r>
        <w:rPr>
          <w:rFonts w:ascii="Times New Roman" w:hAnsi="Times New Roman" w:cs="Times New Roman" w:eastAsia="Times New Roman"/>
          <w:color w:val="auto"/>
          <w:spacing w:val="0"/>
          <w:position w:val="0"/>
          <w:sz w:val="24"/>
          <w:shd w:fill="auto" w:val="clear"/>
        </w:rPr>
        <w:t xml:space="preserve">а</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в</w:t>
      </w:r>
      <w:r>
        <w:rPr>
          <w:rFonts w:ascii="Times New Roman" w:hAnsi="Times New Roman" w:cs="Times New Roman" w:eastAsia="Times New Roman"/>
          <w:color w:val="auto"/>
          <w:spacing w:val="-1"/>
          <w:position w:val="0"/>
          <w:sz w:val="24"/>
          <w:shd w:fill="auto" w:val="clear"/>
        </w:rPr>
        <w:t xml:space="preserve">ъз</w:t>
      </w:r>
      <w:r>
        <w:rPr>
          <w:rFonts w:ascii="Times New Roman" w:hAnsi="Times New Roman" w:cs="Times New Roman" w:eastAsia="Times New Roman"/>
          <w:color w:val="auto"/>
          <w:spacing w:val="3"/>
          <w:position w:val="0"/>
          <w:sz w:val="24"/>
          <w:shd w:fill="auto" w:val="clear"/>
        </w:rPr>
        <w:t xml:space="preserve">р</w:t>
      </w:r>
      <w:r>
        <w:rPr>
          <w:rFonts w:ascii="Times New Roman" w:hAnsi="Times New Roman" w:cs="Times New Roman" w:eastAsia="Times New Roman"/>
          <w:color w:val="auto"/>
          <w:spacing w:val="-1"/>
          <w:position w:val="0"/>
          <w:sz w:val="24"/>
          <w:shd w:fill="auto" w:val="clear"/>
        </w:rPr>
        <w:t xml:space="preserve">ас</w:t>
      </w:r>
      <w:r>
        <w:rPr>
          <w:rFonts w:ascii="Times New Roman" w:hAnsi="Times New Roman" w:cs="Times New Roman" w:eastAsia="Times New Roman"/>
          <w:color w:val="auto"/>
          <w:spacing w:val="-3"/>
          <w:position w:val="0"/>
          <w:sz w:val="24"/>
          <w:shd w:fill="auto" w:val="clear"/>
        </w:rPr>
        <w:t xml:space="preserve">т</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Т</w:t>
      </w:r>
      <w:r>
        <w:rPr>
          <w:rFonts w:ascii="Times New Roman" w:hAnsi="Times New Roman" w:cs="Times New Roman" w:eastAsia="Times New Roman"/>
          <w:color w:val="auto"/>
          <w:spacing w:val="3"/>
          <w:position w:val="0"/>
          <w:sz w:val="24"/>
          <w:shd w:fill="auto" w:val="clear"/>
        </w:rPr>
        <w:t xml:space="preserve">о</w:t>
      </w:r>
      <w:r>
        <w:rPr>
          <w:rFonts w:ascii="Times New Roman" w:hAnsi="Times New Roman" w:cs="Times New Roman" w:eastAsia="Times New Roman"/>
          <w:color w:val="auto"/>
          <w:spacing w:val="-1"/>
          <w:position w:val="0"/>
          <w:sz w:val="24"/>
          <w:shd w:fill="auto" w:val="clear"/>
        </w:rPr>
        <w:t xml:space="preserve">в</w:t>
      </w:r>
      <w:r>
        <w:rPr>
          <w:rFonts w:ascii="Times New Roman" w:hAnsi="Times New Roman" w:cs="Times New Roman" w:eastAsia="Times New Roman"/>
          <w:color w:val="auto"/>
          <w:spacing w:val="0"/>
          <w:position w:val="0"/>
          <w:sz w:val="24"/>
          <w:shd w:fill="auto" w:val="clear"/>
        </w:rPr>
        <w:t xml:space="preserve">а</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о</w:t>
      </w:r>
      <w:r>
        <w:rPr>
          <w:rFonts w:ascii="Times New Roman" w:hAnsi="Times New Roman" w:cs="Times New Roman" w:eastAsia="Times New Roman"/>
          <w:color w:val="auto"/>
          <w:spacing w:val="-1"/>
          <w:position w:val="0"/>
          <w:sz w:val="24"/>
          <w:shd w:fill="auto" w:val="clear"/>
        </w:rPr>
        <w:t xml:space="preserve">з</w:t>
      </w:r>
      <w:r>
        <w:rPr>
          <w:rFonts w:ascii="Times New Roman" w:hAnsi="Times New Roman" w:cs="Times New Roman" w:eastAsia="Times New Roman"/>
          <w:color w:val="auto"/>
          <w:spacing w:val="3"/>
          <w:position w:val="0"/>
          <w:sz w:val="24"/>
          <w:shd w:fill="auto" w:val="clear"/>
        </w:rPr>
        <w:t xml:space="preserve">н</w:t>
      </w:r>
      <w:r>
        <w:rPr>
          <w:rFonts w:ascii="Times New Roman" w:hAnsi="Times New Roman" w:cs="Times New Roman" w:eastAsia="Times New Roman"/>
          <w:color w:val="auto"/>
          <w:spacing w:val="-1"/>
          <w:position w:val="0"/>
          <w:sz w:val="24"/>
          <w:shd w:fill="auto" w:val="clear"/>
        </w:rPr>
        <w:t xml:space="preserve">ачав</w:t>
      </w:r>
      <w:r>
        <w:rPr>
          <w:rFonts w:ascii="Times New Roman" w:hAnsi="Times New Roman" w:cs="Times New Roman" w:eastAsia="Times New Roman"/>
          <w:color w:val="auto"/>
          <w:spacing w:val="-2"/>
          <w:position w:val="0"/>
          <w:sz w:val="24"/>
          <w:shd w:fill="auto" w:val="clear"/>
        </w:rPr>
        <w:t xml:space="preserve">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ч</w:t>
      </w:r>
      <w:r>
        <w:rPr>
          <w:rFonts w:ascii="Times New Roman" w:hAnsi="Times New Roman" w:cs="Times New Roman" w:eastAsia="Times New Roman"/>
          <w:color w:val="auto"/>
          <w:spacing w:val="0"/>
          <w:position w:val="0"/>
          <w:sz w:val="24"/>
          <w:shd w:fill="auto" w:val="clear"/>
        </w:rPr>
        <w:t xml:space="preserve">е</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м</w:t>
      </w:r>
      <w:r>
        <w:rPr>
          <w:rFonts w:ascii="Times New Roman" w:hAnsi="Times New Roman" w:cs="Times New Roman" w:eastAsia="Times New Roman"/>
          <w:color w:val="auto"/>
          <w:spacing w:val="3"/>
          <w:position w:val="0"/>
          <w:sz w:val="24"/>
          <w:shd w:fill="auto" w:val="clear"/>
        </w:rPr>
        <w:t xml:space="preserve">л</w:t>
      </w:r>
      <w:r>
        <w:rPr>
          <w:rFonts w:ascii="Times New Roman" w:hAnsi="Times New Roman" w:cs="Times New Roman" w:eastAsia="Times New Roman"/>
          <w:color w:val="auto"/>
          <w:spacing w:val="-1"/>
          <w:position w:val="0"/>
          <w:sz w:val="24"/>
          <w:shd w:fill="auto" w:val="clear"/>
        </w:rPr>
        <w:t xml:space="preserve">адит</w:t>
      </w:r>
      <w:r>
        <w:rPr>
          <w:rFonts w:ascii="Times New Roman" w:hAnsi="Times New Roman" w:cs="Times New Roman" w:eastAsia="Times New Roman"/>
          <w:color w:val="auto"/>
          <w:spacing w:val="0"/>
          <w:position w:val="0"/>
          <w:sz w:val="24"/>
          <w:shd w:fill="auto" w:val="clear"/>
        </w:rPr>
        <w:t xml:space="preserve">е</w:t>
      </w:r>
      <w:r>
        <w:rPr>
          <w:rFonts w:ascii="Times New Roman" w:hAnsi="Times New Roman" w:cs="Times New Roman" w:eastAsia="Times New Roman"/>
          <w:color w:val="auto"/>
          <w:spacing w:val="1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поко</w:t>
      </w:r>
      <w:r>
        <w:rPr>
          <w:rFonts w:ascii="Times New Roman" w:hAnsi="Times New Roman" w:cs="Times New Roman" w:eastAsia="Times New Roman"/>
          <w:color w:val="auto"/>
          <w:spacing w:val="3"/>
          <w:position w:val="0"/>
          <w:sz w:val="24"/>
          <w:shd w:fill="auto" w:val="clear"/>
        </w:rPr>
        <w:t xml:space="preserve">л</w:t>
      </w:r>
      <w:r>
        <w:rPr>
          <w:rFonts w:ascii="Times New Roman" w:hAnsi="Times New Roman" w:cs="Times New Roman" w:eastAsia="Times New Roman"/>
          <w:color w:val="auto"/>
          <w:spacing w:val="-1"/>
          <w:position w:val="0"/>
          <w:sz w:val="24"/>
          <w:shd w:fill="auto" w:val="clear"/>
        </w:rPr>
        <w:t xml:space="preserve">ен</w:t>
      </w:r>
      <w:r>
        <w:rPr>
          <w:rFonts w:ascii="Times New Roman" w:hAnsi="Times New Roman" w:cs="Times New Roman" w:eastAsia="Times New Roman"/>
          <w:color w:val="auto"/>
          <w:spacing w:val="3"/>
          <w:position w:val="0"/>
          <w:sz w:val="24"/>
          <w:shd w:fill="auto" w:val="clear"/>
        </w:rPr>
        <w:t xml:space="preserve">и</w:t>
      </w:r>
      <w:r>
        <w:rPr>
          <w:rFonts w:ascii="Times New Roman" w:hAnsi="Times New Roman" w:cs="Times New Roman" w:eastAsia="Times New Roman"/>
          <w:color w:val="auto"/>
          <w:spacing w:val="-4"/>
          <w:position w:val="0"/>
          <w:sz w:val="24"/>
          <w:shd w:fill="auto" w:val="clear"/>
        </w:rPr>
        <w:t xml:space="preserve">я</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коит</w:t>
      </w:r>
      <w:r>
        <w:rPr>
          <w:rFonts w:ascii="Times New Roman" w:hAnsi="Times New Roman" w:cs="Times New Roman" w:eastAsia="Times New Roman"/>
          <w:color w:val="auto"/>
          <w:spacing w:val="0"/>
          <w:position w:val="0"/>
          <w:sz w:val="24"/>
          <w:shd w:fill="auto" w:val="clear"/>
        </w:rPr>
        <w:t xml:space="preserve">о</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щ</w:t>
      </w:r>
      <w:r>
        <w:rPr>
          <w:rFonts w:ascii="Times New Roman" w:hAnsi="Times New Roman" w:cs="Times New Roman" w:eastAsia="Times New Roman"/>
          <w:color w:val="auto"/>
          <w:spacing w:val="0"/>
          <w:position w:val="0"/>
          <w:sz w:val="24"/>
          <w:shd w:fill="auto" w:val="clear"/>
        </w:rPr>
        <w:t xml:space="preserve">е</w:t>
      </w:r>
      <w:r>
        <w:rPr>
          <w:rFonts w:ascii="Times New Roman" w:hAnsi="Times New Roman" w:cs="Times New Roman" w:eastAsia="Times New Roman"/>
          <w:color w:val="auto"/>
          <w:spacing w:val="17"/>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за</w:t>
      </w:r>
      <w:r>
        <w:rPr>
          <w:rFonts w:ascii="Times New Roman" w:hAnsi="Times New Roman" w:cs="Times New Roman" w:eastAsia="Times New Roman"/>
          <w:color w:val="auto"/>
          <w:spacing w:val="3"/>
          <w:position w:val="0"/>
          <w:sz w:val="24"/>
          <w:shd w:fill="auto" w:val="clear"/>
        </w:rPr>
        <w:t xml:space="preserve">м</w:t>
      </w:r>
      <w:r>
        <w:rPr>
          <w:rFonts w:ascii="Times New Roman" w:hAnsi="Times New Roman" w:cs="Times New Roman" w:eastAsia="Times New Roman"/>
          <w:color w:val="auto"/>
          <w:spacing w:val="-1"/>
          <w:position w:val="0"/>
          <w:sz w:val="24"/>
          <w:shd w:fill="auto" w:val="clear"/>
        </w:rPr>
        <w:t xml:space="preserve">еня</w:t>
      </w:r>
      <w:r>
        <w:rPr>
          <w:rFonts w:ascii="Times New Roman" w:hAnsi="Times New Roman" w:cs="Times New Roman" w:eastAsia="Times New Roman"/>
          <w:color w:val="auto"/>
          <w:spacing w:val="0"/>
          <w:position w:val="0"/>
          <w:sz w:val="24"/>
          <w:shd w:fill="auto" w:val="clear"/>
        </w:rPr>
        <w:t xml:space="preserve">т </w:t>
      </w:r>
      <w:r>
        <w:rPr>
          <w:rFonts w:ascii="Times New Roman" w:hAnsi="Times New Roman" w:cs="Times New Roman" w:eastAsia="Times New Roman"/>
          <w:color w:val="auto"/>
          <w:spacing w:val="-1"/>
          <w:position w:val="0"/>
          <w:sz w:val="24"/>
          <w:shd w:fill="auto" w:val="clear"/>
        </w:rPr>
        <w:t xml:space="preserve">сле</w:t>
      </w:r>
      <w:r>
        <w:rPr>
          <w:rFonts w:ascii="Times New Roman" w:hAnsi="Times New Roman" w:cs="Times New Roman" w:eastAsia="Times New Roman"/>
          <w:color w:val="auto"/>
          <w:spacing w:val="0"/>
          <w:position w:val="0"/>
          <w:sz w:val="24"/>
          <w:shd w:fill="auto" w:val="clear"/>
        </w:rPr>
        <w:t xml:space="preserve">д</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в</w:t>
      </w:r>
      <w:r>
        <w:rPr>
          <w:rFonts w:ascii="Times New Roman" w:hAnsi="Times New Roman" w:cs="Times New Roman" w:eastAsia="Times New Roman"/>
          <w:color w:val="auto"/>
          <w:spacing w:val="3"/>
          <w:position w:val="0"/>
          <w:sz w:val="24"/>
          <w:shd w:fill="auto" w:val="clear"/>
        </w:rPr>
        <w:t xml:space="preserve">р</w:t>
      </w:r>
      <w:r>
        <w:rPr>
          <w:rFonts w:ascii="Times New Roman" w:hAnsi="Times New Roman" w:cs="Times New Roman" w:eastAsia="Times New Roman"/>
          <w:color w:val="auto"/>
          <w:spacing w:val="-1"/>
          <w:position w:val="0"/>
          <w:sz w:val="24"/>
          <w:shd w:fill="auto" w:val="clear"/>
        </w:rPr>
        <w:t xml:space="preserve">ем</w:t>
      </w:r>
      <w:r>
        <w:rPr>
          <w:rFonts w:ascii="Times New Roman" w:hAnsi="Times New Roman" w:cs="Times New Roman" w:eastAsia="Times New Roman"/>
          <w:color w:val="auto"/>
          <w:spacing w:val="0"/>
          <w:position w:val="0"/>
          <w:sz w:val="24"/>
          <w:shd w:fill="auto" w:val="clear"/>
        </w:rPr>
        <w:t xml:space="preserve">е </w:t>
      </w:r>
      <w:r>
        <w:rPr>
          <w:rFonts w:ascii="Times New Roman" w:hAnsi="Times New Roman" w:cs="Times New Roman" w:eastAsia="Times New Roman"/>
          <w:color w:val="auto"/>
          <w:spacing w:val="-1"/>
          <w:position w:val="0"/>
          <w:sz w:val="24"/>
          <w:shd w:fill="auto" w:val="clear"/>
        </w:rPr>
        <w:t xml:space="preserve">зае</w:t>
      </w:r>
      <w:r>
        <w:rPr>
          <w:rFonts w:ascii="Times New Roman" w:hAnsi="Times New Roman" w:cs="Times New Roman" w:eastAsia="Times New Roman"/>
          <w:color w:val="auto"/>
          <w:spacing w:val="2"/>
          <w:position w:val="0"/>
          <w:sz w:val="24"/>
          <w:shd w:fill="auto" w:val="clear"/>
        </w:rPr>
        <w:t xml:space="preserve">т</w:t>
      </w:r>
      <w:r>
        <w:rPr>
          <w:rFonts w:ascii="Times New Roman" w:hAnsi="Times New Roman" w:cs="Times New Roman" w:eastAsia="Times New Roman"/>
          <w:color w:val="auto"/>
          <w:spacing w:val="-1"/>
          <w:position w:val="0"/>
          <w:sz w:val="24"/>
          <w:shd w:fill="auto" w:val="clear"/>
        </w:rPr>
        <w:t xml:space="preserve">и</w:t>
      </w:r>
      <w:r>
        <w:rPr>
          <w:rFonts w:ascii="Times New Roman" w:hAnsi="Times New Roman" w:cs="Times New Roman" w:eastAsia="Times New Roman"/>
          <w:color w:val="auto"/>
          <w:spacing w:val="3"/>
          <w:position w:val="0"/>
          <w:sz w:val="24"/>
          <w:shd w:fill="auto" w:val="clear"/>
        </w:rPr>
        <w:t xml:space="preserve">т</w:t>
      </w:r>
      <w:r>
        <w:rPr>
          <w:rFonts w:ascii="Times New Roman" w:hAnsi="Times New Roman" w:cs="Times New Roman" w:eastAsia="Times New Roman"/>
          <w:color w:val="auto"/>
          <w:spacing w:val="0"/>
          <w:position w:val="0"/>
          <w:sz w:val="24"/>
          <w:shd w:fill="auto" w:val="clear"/>
        </w:rPr>
        <w:t xml:space="preserve">е</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ли</w:t>
      </w:r>
      <w:r>
        <w:rPr>
          <w:rFonts w:ascii="Times New Roman" w:hAnsi="Times New Roman" w:cs="Times New Roman" w:eastAsia="Times New Roman"/>
          <w:color w:val="auto"/>
          <w:spacing w:val="4"/>
          <w:position w:val="0"/>
          <w:sz w:val="24"/>
          <w:shd w:fill="auto" w:val="clear"/>
        </w:rPr>
        <w:t xml:space="preserve">ц</w:t>
      </w:r>
      <w:r>
        <w:rPr>
          <w:rFonts w:ascii="Times New Roman" w:hAnsi="Times New Roman" w:cs="Times New Roman" w:eastAsia="Times New Roman"/>
          <w:color w:val="auto"/>
          <w:spacing w:val="0"/>
          <w:position w:val="0"/>
          <w:sz w:val="24"/>
          <w:shd w:fill="auto" w:val="clear"/>
        </w:rPr>
        <w:t xml:space="preserve">а и н</w:t>
      </w:r>
      <w:r>
        <w:rPr>
          <w:rFonts w:ascii="Times New Roman" w:hAnsi="Times New Roman" w:cs="Times New Roman" w:eastAsia="Times New Roman"/>
          <w:color w:val="auto"/>
          <w:spacing w:val="-1"/>
          <w:position w:val="0"/>
          <w:sz w:val="24"/>
          <w:shd w:fill="auto" w:val="clear"/>
        </w:rPr>
        <w:t xml:space="preserve">а</w:t>
      </w:r>
      <w:r>
        <w:rPr>
          <w:rFonts w:ascii="Times New Roman" w:hAnsi="Times New Roman" w:cs="Times New Roman" w:eastAsia="Times New Roman"/>
          <w:color w:val="auto"/>
          <w:spacing w:val="4"/>
          <w:position w:val="0"/>
          <w:sz w:val="24"/>
          <w:shd w:fill="auto" w:val="clear"/>
        </w:rPr>
        <w:t xml:space="preserve">м</w:t>
      </w:r>
      <w:r>
        <w:rPr>
          <w:rFonts w:ascii="Times New Roman" w:hAnsi="Times New Roman" w:cs="Times New Roman" w:eastAsia="Times New Roman"/>
          <w:color w:val="auto"/>
          <w:spacing w:val="-1"/>
          <w:position w:val="0"/>
          <w:sz w:val="24"/>
          <w:shd w:fill="auto" w:val="clear"/>
        </w:rPr>
        <w:t xml:space="preserve">ира</w:t>
      </w:r>
      <w:r>
        <w:rPr>
          <w:rFonts w:ascii="Times New Roman" w:hAnsi="Times New Roman" w:cs="Times New Roman" w:eastAsia="Times New Roman"/>
          <w:color w:val="auto"/>
          <w:spacing w:val="5"/>
          <w:position w:val="0"/>
          <w:sz w:val="24"/>
          <w:shd w:fill="auto" w:val="clear"/>
        </w:rPr>
        <w:t xml:space="preserve">щ</w:t>
      </w:r>
      <w:r>
        <w:rPr>
          <w:rFonts w:ascii="Times New Roman" w:hAnsi="Times New Roman" w:cs="Times New Roman" w:eastAsia="Times New Roman"/>
          <w:color w:val="auto"/>
          <w:spacing w:val="-1"/>
          <w:position w:val="0"/>
          <w:sz w:val="24"/>
          <w:shd w:fill="auto" w:val="clear"/>
        </w:rPr>
        <w:t xml:space="preserve">и</w:t>
      </w:r>
      <w:r>
        <w:rPr>
          <w:rFonts w:ascii="Times New Roman" w:hAnsi="Times New Roman" w:cs="Times New Roman" w:eastAsia="Times New Roman"/>
          <w:color w:val="auto"/>
          <w:spacing w:val="3"/>
          <w:position w:val="0"/>
          <w:sz w:val="24"/>
          <w:shd w:fill="auto" w:val="clear"/>
        </w:rPr>
        <w:t xml:space="preserve">т</w:t>
      </w:r>
      <w:r>
        <w:rPr>
          <w:rFonts w:ascii="Times New Roman" w:hAnsi="Times New Roman" w:cs="Times New Roman" w:eastAsia="Times New Roman"/>
          <w:color w:val="auto"/>
          <w:spacing w:val="0"/>
          <w:position w:val="0"/>
          <w:sz w:val="24"/>
          <w:shd w:fill="auto" w:val="clear"/>
        </w:rPr>
        <w:t xml:space="preserve">е </w:t>
      </w:r>
      <w:r>
        <w:rPr>
          <w:rFonts w:ascii="Times New Roman" w:hAnsi="Times New Roman" w:cs="Times New Roman" w:eastAsia="Times New Roman"/>
          <w:color w:val="auto"/>
          <w:spacing w:val="-1"/>
          <w:position w:val="0"/>
          <w:sz w:val="24"/>
          <w:shd w:fill="auto" w:val="clear"/>
        </w:rPr>
        <w:t xml:space="preserve">с</w:t>
      </w:r>
      <w:r>
        <w:rPr>
          <w:rFonts w:ascii="Times New Roman" w:hAnsi="Times New Roman" w:cs="Times New Roman" w:eastAsia="Times New Roman"/>
          <w:color w:val="auto"/>
          <w:spacing w:val="0"/>
          <w:position w:val="0"/>
          <w:sz w:val="24"/>
          <w:shd w:fill="auto" w:val="clear"/>
        </w:rPr>
        <w:t xml:space="preserve">е</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н</w:t>
      </w:r>
      <w:r>
        <w:rPr>
          <w:rFonts w:ascii="Times New Roman" w:hAnsi="Times New Roman" w:cs="Times New Roman" w:eastAsia="Times New Roman"/>
          <w:color w:val="auto"/>
          <w:spacing w:val="0"/>
          <w:position w:val="0"/>
          <w:sz w:val="24"/>
          <w:shd w:fill="auto" w:val="clear"/>
        </w:rPr>
        <w:t xml:space="preserve">а</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па</w:t>
      </w:r>
      <w:r>
        <w:rPr>
          <w:rFonts w:ascii="Times New Roman" w:hAnsi="Times New Roman" w:cs="Times New Roman" w:eastAsia="Times New Roman"/>
          <w:color w:val="auto"/>
          <w:spacing w:val="3"/>
          <w:position w:val="0"/>
          <w:sz w:val="24"/>
          <w:shd w:fill="auto" w:val="clear"/>
        </w:rPr>
        <w:t xml:space="preserve">з</w:t>
      </w:r>
      <w:r>
        <w:rPr>
          <w:rFonts w:ascii="Times New Roman" w:hAnsi="Times New Roman" w:cs="Times New Roman" w:eastAsia="Times New Roman"/>
          <w:color w:val="auto"/>
          <w:spacing w:val="-1"/>
          <w:position w:val="0"/>
          <w:sz w:val="24"/>
          <w:shd w:fill="auto" w:val="clear"/>
        </w:rPr>
        <w:t xml:space="preserve">ар</w:t>
      </w:r>
      <w:r>
        <w:rPr>
          <w:rFonts w:ascii="Times New Roman" w:hAnsi="Times New Roman" w:cs="Times New Roman" w:eastAsia="Times New Roman"/>
          <w:color w:val="auto"/>
          <w:spacing w:val="0"/>
          <w:position w:val="0"/>
          <w:sz w:val="24"/>
          <w:shd w:fill="auto" w:val="clear"/>
        </w:rPr>
        <w:t xml:space="preserve">а</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н</w:t>
      </w:r>
      <w:r>
        <w:rPr>
          <w:rFonts w:ascii="Times New Roman" w:hAnsi="Times New Roman" w:cs="Times New Roman" w:eastAsia="Times New Roman"/>
          <w:color w:val="auto"/>
          <w:spacing w:val="0"/>
          <w:position w:val="0"/>
          <w:sz w:val="24"/>
          <w:shd w:fill="auto" w:val="clear"/>
        </w:rPr>
        <w:t xml:space="preserve">а</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тр</w:t>
      </w:r>
      <w:r>
        <w:rPr>
          <w:rFonts w:ascii="Times New Roman" w:hAnsi="Times New Roman" w:cs="Times New Roman" w:eastAsia="Times New Roman"/>
          <w:color w:val="auto"/>
          <w:spacing w:val="-7"/>
          <w:position w:val="0"/>
          <w:sz w:val="24"/>
          <w:shd w:fill="auto" w:val="clear"/>
        </w:rPr>
        <w:t xml:space="preserve">у</w:t>
      </w:r>
      <w:r>
        <w:rPr>
          <w:rFonts w:ascii="Times New Roman" w:hAnsi="Times New Roman" w:cs="Times New Roman" w:eastAsia="Times New Roman"/>
          <w:color w:val="auto"/>
          <w:spacing w:val="2"/>
          <w:position w:val="0"/>
          <w:sz w:val="24"/>
          <w:shd w:fill="auto" w:val="clear"/>
        </w:rPr>
        <w:t xml:space="preserve">д</w:t>
      </w:r>
      <w:r>
        <w:rPr>
          <w:rFonts w:ascii="Times New Roman" w:hAnsi="Times New Roman" w:cs="Times New Roman" w:eastAsia="Times New Roman"/>
          <w:color w:val="auto"/>
          <w:spacing w:val="0"/>
          <w:position w:val="0"/>
          <w:sz w:val="24"/>
          <w:shd w:fill="auto" w:val="clear"/>
        </w:rPr>
        <w:t xml:space="preserve">а</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ли</w:t>
      </w:r>
      <w:r>
        <w:rPr>
          <w:rFonts w:ascii="Times New Roman" w:hAnsi="Times New Roman" w:cs="Times New Roman" w:eastAsia="Times New Roman"/>
          <w:color w:val="auto"/>
          <w:spacing w:val="4"/>
          <w:position w:val="0"/>
          <w:sz w:val="24"/>
          <w:shd w:fill="auto" w:val="clear"/>
        </w:rPr>
        <w:t xml:space="preserve">ц</w:t>
      </w:r>
      <w:r>
        <w:rPr>
          <w:rFonts w:ascii="Times New Roman" w:hAnsi="Times New Roman" w:cs="Times New Roman" w:eastAsia="Times New Roman"/>
          <w:color w:val="auto"/>
          <w:spacing w:val="0"/>
          <w:position w:val="0"/>
          <w:sz w:val="24"/>
          <w:shd w:fill="auto" w:val="clear"/>
        </w:rPr>
        <w:t xml:space="preserve">а </w:t>
      </w:r>
      <w:r>
        <w:rPr>
          <w:rFonts w:ascii="Times New Roman" w:hAnsi="Times New Roman" w:cs="Times New Roman" w:eastAsia="Times New Roman"/>
          <w:color w:val="auto"/>
          <w:spacing w:val="5"/>
          <w:position w:val="0"/>
          <w:sz w:val="24"/>
          <w:shd w:fill="auto" w:val="clear"/>
        </w:rPr>
        <w:t xml:space="preserve">о</w:t>
      </w:r>
      <w:r>
        <w:rPr>
          <w:rFonts w:ascii="Times New Roman" w:hAnsi="Times New Roman" w:cs="Times New Roman" w:eastAsia="Times New Roman"/>
          <w:color w:val="auto"/>
          <w:spacing w:val="0"/>
          <w:position w:val="0"/>
          <w:sz w:val="24"/>
          <w:shd w:fill="auto" w:val="clear"/>
        </w:rPr>
        <w:t xml:space="preserve">т</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средн</w:t>
      </w:r>
      <w:r>
        <w:rPr>
          <w:rFonts w:ascii="Times New Roman" w:hAnsi="Times New Roman" w:cs="Times New Roman" w:eastAsia="Times New Roman"/>
          <w:color w:val="auto"/>
          <w:spacing w:val="3"/>
          <w:position w:val="0"/>
          <w:sz w:val="24"/>
          <w:shd w:fill="auto" w:val="clear"/>
        </w:rPr>
        <w:t xml:space="preserve">и</w:t>
      </w:r>
      <w:r>
        <w:rPr>
          <w:rFonts w:ascii="Times New Roman" w:hAnsi="Times New Roman" w:cs="Times New Roman" w:eastAsia="Times New Roman"/>
          <w:color w:val="auto"/>
          <w:spacing w:val="-1"/>
          <w:position w:val="0"/>
          <w:sz w:val="24"/>
          <w:shd w:fill="auto" w:val="clear"/>
        </w:rPr>
        <w:t xml:space="preserve">т</w:t>
      </w:r>
      <w:r>
        <w:rPr>
          <w:rFonts w:ascii="Times New Roman" w:hAnsi="Times New Roman" w:cs="Times New Roman" w:eastAsia="Times New Roman"/>
          <w:color w:val="auto"/>
          <w:spacing w:val="0"/>
          <w:position w:val="0"/>
          <w:sz w:val="24"/>
          <w:shd w:fill="auto" w:val="clear"/>
        </w:rPr>
        <w:t xml:space="preserve">е</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възрас</w:t>
      </w:r>
      <w:r>
        <w:rPr>
          <w:rFonts w:ascii="Times New Roman" w:hAnsi="Times New Roman" w:cs="Times New Roman" w:eastAsia="Times New Roman"/>
          <w:color w:val="auto"/>
          <w:spacing w:val="3"/>
          <w:position w:val="0"/>
          <w:sz w:val="24"/>
          <w:shd w:fill="auto" w:val="clear"/>
        </w:rPr>
        <w:t xml:space="preserve">т</w:t>
      </w:r>
      <w:r>
        <w:rPr>
          <w:rFonts w:ascii="Times New Roman" w:hAnsi="Times New Roman" w:cs="Times New Roman" w:eastAsia="Times New Roman"/>
          <w:color w:val="auto"/>
          <w:spacing w:val="0"/>
          <w:position w:val="0"/>
          <w:sz w:val="24"/>
          <w:shd w:fill="auto" w:val="clear"/>
        </w:rPr>
        <w:t xml:space="preserve">и</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щ</w:t>
      </w:r>
      <w:r>
        <w:rPr>
          <w:rFonts w:ascii="Times New Roman" w:hAnsi="Times New Roman" w:cs="Times New Roman" w:eastAsia="Times New Roman"/>
          <w:color w:val="auto"/>
          <w:spacing w:val="0"/>
          <w:position w:val="0"/>
          <w:sz w:val="24"/>
          <w:shd w:fill="auto" w:val="clear"/>
        </w:rPr>
        <w:t xml:space="preserve">е</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бъда</w:t>
      </w:r>
      <w:r>
        <w:rPr>
          <w:rFonts w:ascii="Times New Roman" w:hAnsi="Times New Roman" w:cs="Times New Roman" w:eastAsia="Times New Roman"/>
          <w:color w:val="auto"/>
          <w:spacing w:val="0"/>
          <w:position w:val="0"/>
          <w:sz w:val="24"/>
          <w:shd w:fill="auto" w:val="clear"/>
        </w:rPr>
        <w:t xml:space="preserve">т</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п</w:t>
      </w:r>
      <w:r>
        <w:rPr>
          <w:rFonts w:ascii="Times New Roman" w:hAnsi="Times New Roman" w:cs="Times New Roman" w:eastAsia="Times New Roman"/>
          <w:color w:val="auto"/>
          <w:spacing w:val="3"/>
          <w:position w:val="0"/>
          <w:sz w:val="24"/>
          <w:shd w:fill="auto" w:val="clear"/>
        </w:rPr>
        <w:t xml:space="preserve">о</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мал</w:t>
      </w:r>
      <w:r>
        <w:rPr>
          <w:rFonts w:ascii="Times New Roman" w:hAnsi="Times New Roman" w:cs="Times New Roman" w:eastAsia="Times New Roman"/>
          <w:color w:val="auto"/>
          <w:spacing w:val="-4"/>
          <w:position w:val="0"/>
          <w:sz w:val="24"/>
          <w:shd w:fill="auto" w:val="clear"/>
        </w:rPr>
        <w:t xml:space="preserve">к</w:t>
      </w:r>
      <w:r>
        <w:rPr>
          <w:rFonts w:ascii="Times New Roman" w:hAnsi="Times New Roman" w:cs="Times New Roman" w:eastAsia="Times New Roman"/>
          <w:color w:val="auto"/>
          <w:spacing w:val="0"/>
          <w:position w:val="0"/>
          <w:sz w:val="24"/>
          <w:shd w:fill="auto" w:val="clear"/>
        </w:rPr>
        <w:t xml:space="preserve">о</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о</w:t>
      </w:r>
      <w:r>
        <w:rPr>
          <w:rFonts w:ascii="Times New Roman" w:hAnsi="Times New Roman" w:cs="Times New Roman" w:eastAsia="Times New Roman"/>
          <w:color w:val="auto"/>
          <w:spacing w:val="0"/>
          <w:position w:val="0"/>
          <w:sz w:val="24"/>
          <w:shd w:fill="auto" w:val="clear"/>
        </w:rPr>
        <w:t xml:space="preserve">т</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х</w:t>
      </w:r>
      <w:r>
        <w:rPr>
          <w:rFonts w:ascii="Times New Roman" w:hAnsi="Times New Roman" w:cs="Times New Roman" w:eastAsia="Times New Roman"/>
          <w:color w:val="auto"/>
          <w:spacing w:val="1"/>
          <w:position w:val="0"/>
          <w:sz w:val="24"/>
          <w:shd w:fill="auto" w:val="clear"/>
        </w:rPr>
        <w:t xml:space="preserve">орат</w:t>
      </w:r>
      <w:r>
        <w:rPr>
          <w:rFonts w:ascii="Times New Roman" w:hAnsi="Times New Roman" w:cs="Times New Roman" w:eastAsia="Times New Roman"/>
          <w:color w:val="auto"/>
          <w:spacing w:val="0"/>
          <w:position w:val="0"/>
          <w:sz w:val="24"/>
          <w:shd w:fill="auto" w:val="clear"/>
        </w:rPr>
        <w:t xml:space="preserve">а</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на</w:t>
      </w:r>
      <w:r>
        <w:rPr>
          <w:rFonts w:ascii="Times New Roman" w:hAnsi="Times New Roman" w:cs="Times New Roman" w:eastAsia="Times New Roman"/>
          <w:color w:val="auto"/>
          <w:spacing w:val="-4"/>
          <w:position w:val="0"/>
          <w:sz w:val="24"/>
          <w:shd w:fill="auto" w:val="clear"/>
        </w:rPr>
        <w:t xml:space="preserve">д</w:t>
      </w:r>
      <w:r>
        <w:rPr>
          <w:rFonts w:ascii="Times New Roman" w:hAnsi="Times New Roman" w:cs="Times New Roman" w:eastAsia="Times New Roman"/>
          <w:color w:val="auto"/>
          <w:spacing w:val="1"/>
          <w:position w:val="0"/>
          <w:sz w:val="24"/>
          <w:shd w:fill="auto" w:val="clear"/>
        </w:rPr>
        <w:t xml:space="preserve">тр</w:t>
      </w:r>
      <w:r>
        <w:rPr>
          <w:rFonts w:ascii="Times New Roman" w:hAnsi="Times New Roman" w:cs="Times New Roman" w:eastAsia="Times New Roman"/>
          <w:color w:val="auto"/>
          <w:spacing w:val="-6"/>
          <w:position w:val="0"/>
          <w:sz w:val="24"/>
          <w:shd w:fill="auto" w:val="clear"/>
        </w:rPr>
        <w:t xml:space="preserve">у</w:t>
      </w:r>
      <w:r>
        <w:rPr>
          <w:rFonts w:ascii="Times New Roman" w:hAnsi="Times New Roman" w:cs="Times New Roman" w:eastAsia="Times New Roman"/>
          <w:color w:val="auto"/>
          <w:spacing w:val="1"/>
          <w:position w:val="0"/>
          <w:sz w:val="24"/>
          <w:shd w:fill="auto" w:val="clear"/>
        </w:rPr>
        <w:t xml:space="preserve">доспо</w:t>
      </w:r>
      <w:r>
        <w:rPr>
          <w:rFonts w:ascii="Times New Roman" w:hAnsi="Times New Roman" w:cs="Times New Roman" w:eastAsia="Times New Roman"/>
          <w:color w:val="auto"/>
          <w:spacing w:val="-4"/>
          <w:position w:val="0"/>
          <w:sz w:val="24"/>
          <w:shd w:fill="auto" w:val="clear"/>
        </w:rPr>
        <w:t xml:space="preserve">с</w:t>
      </w:r>
      <w:r>
        <w:rPr>
          <w:rFonts w:ascii="Times New Roman" w:hAnsi="Times New Roman" w:cs="Times New Roman" w:eastAsia="Times New Roman"/>
          <w:color w:val="auto"/>
          <w:spacing w:val="5"/>
          <w:position w:val="0"/>
          <w:sz w:val="24"/>
          <w:shd w:fill="auto" w:val="clear"/>
        </w:rPr>
        <w:t xml:space="preserve">о</w:t>
      </w:r>
      <w:r>
        <w:rPr>
          <w:rFonts w:ascii="Times New Roman" w:hAnsi="Times New Roman" w:cs="Times New Roman" w:eastAsia="Times New Roman"/>
          <w:color w:val="auto"/>
          <w:spacing w:val="1"/>
          <w:position w:val="0"/>
          <w:sz w:val="24"/>
          <w:shd w:fill="auto" w:val="clear"/>
        </w:rPr>
        <w:t xml:space="preserve">бн</w:t>
      </w:r>
      <w:r>
        <w:rPr>
          <w:rFonts w:ascii="Times New Roman" w:hAnsi="Times New Roman" w:cs="Times New Roman" w:eastAsia="Times New Roman"/>
          <w:color w:val="auto"/>
          <w:spacing w:val="0"/>
          <w:position w:val="0"/>
          <w:sz w:val="24"/>
          <w:shd w:fill="auto" w:val="clear"/>
        </w:rPr>
        <w:t xml:space="preserve">а</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възра</w:t>
      </w:r>
      <w:r>
        <w:rPr>
          <w:rFonts w:ascii="Times New Roman" w:hAnsi="Times New Roman" w:cs="Times New Roman" w:eastAsia="Times New Roman"/>
          <w:color w:val="auto"/>
          <w:spacing w:val="-4"/>
          <w:position w:val="0"/>
          <w:sz w:val="24"/>
          <w:shd w:fill="auto" w:val="clear"/>
        </w:rPr>
        <w:t xml:space="preserve">с</w:t>
      </w:r>
      <w:r>
        <w:rPr>
          <w:rFonts w:ascii="Times New Roman" w:hAnsi="Times New Roman" w:cs="Times New Roman" w:eastAsia="Times New Roman"/>
          <w:color w:val="auto"/>
          <w:spacing w:val="2"/>
          <w:position w:val="0"/>
          <w:sz w:val="24"/>
          <w:shd w:fill="auto" w:val="clear"/>
        </w:rPr>
        <w:t xml:space="preserve">т</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кое</w:t>
      </w:r>
      <w:r>
        <w:rPr>
          <w:rFonts w:ascii="Times New Roman" w:hAnsi="Times New Roman" w:cs="Times New Roman" w:eastAsia="Times New Roman"/>
          <w:color w:val="auto"/>
          <w:spacing w:val="-5"/>
          <w:position w:val="0"/>
          <w:sz w:val="24"/>
          <w:shd w:fill="auto" w:val="clear"/>
        </w:rPr>
        <w:t xml:space="preserve">т</w:t>
      </w:r>
      <w:r>
        <w:rPr>
          <w:rFonts w:ascii="Times New Roman" w:hAnsi="Times New Roman" w:cs="Times New Roman" w:eastAsia="Times New Roman"/>
          <w:color w:val="auto"/>
          <w:spacing w:val="0"/>
          <w:position w:val="0"/>
          <w:sz w:val="24"/>
          <w:shd w:fill="auto" w:val="clear"/>
        </w:rPr>
        <w:t xml:space="preserve">о</w:t>
      </w:r>
      <w:r>
        <w:rPr>
          <w:rFonts w:ascii="Times New Roman" w:hAnsi="Times New Roman" w:cs="Times New Roman" w:eastAsia="Times New Roman"/>
          <w:color w:val="auto"/>
          <w:spacing w:val="1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щ</w:t>
      </w:r>
      <w:r>
        <w:rPr>
          <w:rFonts w:ascii="Times New Roman" w:hAnsi="Times New Roman" w:cs="Times New Roman" w:eastAsia="Times New Roman"/>
          <w:color w:val="auto"/>
          <w:spacing w:val="0"/>
          <w:position w:val="0"/>
          <w:sz w:val="24"/>
          <w:shd w:fill="auto" w:val="clear"/>
        </w:rPr>
        <w:t xml:space="preserve">е</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за</w:t>
      </w:r>
      <w:r>
        <w:rPr>
          <w:rFonts w:ascii="Times New Roman" w:hAnsi="Times New Roman" w:cs="Times New Roman" w:eastAsia="Times New Roman"/>
          <w:color w:val="auto"/>
          <w:spacing w:val="-4"/>
          <w:position w:val="0"/>
          <w:sz w:val="24"/>
          <w:shd w:fill="auto" w:val="clear"/>
        </w:rPr>
        <w:t xml:space="preserve">д</w:t>
      </w:r>
      <w:r>
        <w:rPr>
          <w:rFonts w:ascii="Times New Roman" w:hAnsi="Times New Roman" w:cs="Times New Roman" w:eastAsia="Times New Roman"/>
          <w:color w:val="auto"/>
          <w:spacing w:val="1"/>
          <w:position w:val="0"/>
          <w:sz w:val="24"/>
          <w:shd w:fill="auto" w:val="clear"/>
        </w:rPr>
        <w:t xml:space="preserve">ърж</w:t>
      </w:r>
      <w:r>
        <w:rPr>
          <w:rFonts w:ascii="Times New Roman" w:hAnsi="Times New Roman" w:cs="Times New Roman" w:eastAsia="Times New Roman"/>
          <w:color w:val="auto"/>
          <w:spacing w:val="0"/>
          <w:position w:val="0"/>
          <w:sz w:val="24"/>
          <w:shd w:fill="auto" w:val="clear"/>
        </w:rPr>
        <w:t xml:space="preserve">и</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тен</w:t>
      </w:r>
      <w:r>
        <w:rPr>
          <w:rFonts w:ascii="Times New Roman" w:hAnsi="Times New Roman" w:cs="Times New Roman" w:eastAsia="Times New Roman"/>
          <w:color w:val="auto"/>
          <w:spacing w:val="-5"/>
          <w:position w:val="0"/>
          <w:sz w:val="24"/>
          <w:shd w:fill="auto" w:val="clear"/>
        </w:rPr>
        <w:t xml:space="preserve">д</w:t>
      </w:r>
      <w:r>
        <w:rPr>
          <w:rFonts w:ascii="Times New Roman" w:hAnsi="Times New Roman" w:cs="Times New Roman" w:eastAsia="Times New Roman"/>
          <w:color w:val="auto"/>
          <w:spacing w:val="1"/>
          <w:position w:val="0"/>
          <w:sz w:val="24"/>
          <w:shd w:fill="auto" w:val="clear"/>
        </w:rPr>
        <w:t xml:space="preserve">енция</w:t>
      </w:r>
      <w:r>
        <w:rPr>
          <w:rFonts w:ascii="Times New Roman" w:hAnsi="Times New Roman" w:cs="Times New Roman" w:eastAsia="Times New Roman"/>
          <w:color w:val="auto"/>
          <w:spacing w:val="-3"/>
          <w:position w:val="0"/>
          <w:sz w:val="24"/>
          <w:shd w:fill="auto" w:val="clear"/>
        </w:rPr>
        <w:t xml:space="preserve">т</w:t>
      </w:r>
      <w:r>
        <w:rPr>
          <w:rFonts w:ascii="Times New Roman" w:hAnsi="Times New Roman" w:cs="Times New Roman" w:eastAsia="Times New Roman"/>
          <w:color w:val="auto"/>
          <w:spacing w:val="0"/>
          <w:position w:val="0"/>
          <w:sz w:val="24"/>
          <w:shd w:fill="auto" w:val="clear"/>
        </w:rPr>
        <w:t xml:space="preserve">а</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н</w:t>
      </w:r>
      <w:r>
        <w:rPr>
          <w:rFonts w:ascii="Times New Roman" w:hAnsi="Times New Roman" w:cs="Times New Roman" w:eastAsia="Times New Roman"/>
          <w:color w:val="auto"/>
          <w:spacing w:val="0"/>
          <w:position w:val="0"/>
          <w:sz w:val="24"/>
          <w:shd w:fill="auto" w:val="clear"/>
        </w:rPr>
        <w:t xml:space="preserve">а</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за</w:t>
      </w:r>
      <w:r>
        <w:rPr>
          <w:rFonts w:ascii="Times New Roman" w:hAnsi="Times New Roman" w:cs="Times New Roman" w:eastAsia="Times New Roman"/>
          <w:color w:val="auto"/>
          <w:spacing w:val="-3"/>
          <w:position w:val="0"/>
          <w:sz w:val="24"/>
          <w:shd w:fill="auto" w:val="clear"/>
        </w:rPr>
        <w:t xml:space="preserve">с</w:t>
      </w:r>
      <w:r>
        <w:rPr>
          <w:rFonts w:ascii="Times New Roman" w:hAnsi="Times New Roman" w:cs="Times New Roman" w:eastAsia="Times New Roman"/>
          <w:color w:val="auto"/>
          <w:spacing w:val="1"/>
          <w:position w:val="0"/>
          <w:sz w:val="24"/>
          <w:shd w:fill="auto" w:val="clear"/>
        </w:rPr>
        <w:t xml:space="preserve">та</w:t>
      </w:r>
      <w:r>
        <w:rPr>
          <w:rFonts w:ascii="Times New Roman" w:hAnsi="Times New Roman" w:cs="Times New Roman" w:eastAsia="Times New Roman"/>
          <w:color w:val="auto"/>
          <w:spacing w:val="-3"/>
          <w:position w:val="0"/>
          <w:sz w:val="24"/>
          <w:shd w:fill="auto" w:val="clear"/>
        </w:rPr>
        <w:t xml:space="preserve">р</w:t>
      </w:r>
      <w:r>
        <w:rPr>
          <w:rFonts w:ascii="Times New Roman" w:hAnsi="Times New Roman" w:cs="Times New Roman" w:eastAsia="Times New Roman"/>
          <w:color w:val="auto"/>
          <w:spacing w:val="1"/>
          <w:position w:val="0"/>
          <w:sz w:val="24"/>
          <w:shd w:fill="auto" w:val="clear"/>
        </w:rPr>
        <w:t xml:space="preserve">яван</w:t>
      </w:r>
      <w:r>
        <w:rPr>
          <w:rFonts w:ascii="Times New Roman" w:hAnsi="Times New Roman" w:cs="Times New Roman" w:eastAsia="Times New Roman"/>
          <w:color w:val="auto"/>
          <w:spacing w:val="0"/>
          <w:position w:val="0"/>
          <w:sz w:val="24"/>
          <w:shd w:fill="auto" w:val="clear"/>
        </w:rPr>
        <w:t xml:space="preserve">е </w:t>
      </w:r>
      <w:r>
        <w:rPr>
          <w:rFonts w:ascii="Times New Roman" w:hAnsi="Times New Roman" w:cs="Times New Roman" w:eastAsia="Times New Roman"/>
          <w:color w:val="auto"/>
          <w:spacing w:val="1"/>
          <w:position w:val="0"/>
          <w:sz w:val="24"/>
          <w:shd w:fill="auto" w:val="clear"/>
        </w:rPr>
        <w:t xml:space="preserve">на на</w:t>
      </w:r>
      <w:r>
        <w:rPr>
          <w:rFonts w:ascii="Times New Roman" w:hAnsi="Times New Roman" w:cs="Times New Roman" w:eastAsia="Times New Roman"/>
          <w:color w:val="auto"/>
          <w:spacing w:val="-3"/>
          <w:position w:val="0"/>
          <w:sz w:val="24"/>
          <w:shd w:fill="auto" w:val="clear"/>
        </w:rPr>
        <w:t xml:space="preserve">с</w:t>
      </w:r>
      <w:r>
        <w:rPr>
          <w:rFonts w:ascii="Times New Roman" w:hAnsi="Times New Roman" w:cs="Times New Roman" w:eastAsia="Times New Roman"/>
          <w:color w:val="auto"/>
          <w:spacing w:val="1"/>
          <w:position w:val="0"/>
          <w:sz w:val="24"/>
          <w:shd w:fill="auto" w:val="clear"/>
        </w:rPr>
        <w:t xml:space="preserve">ел</w:t>
      </w:r>
      <w:r>
        <w:rPr>
          <w:rFonts w:ascii="Times New Roman" w:hAnsi="Times New Roman" w:cs="Times New Roman" w:eastAsia="Times New Roman"/>
          <w:color w:val="auto"/>
          <w:spacing w:val="-4"/>
          <w:position w:val="0"/>
          <w:sz w:val="24"/>
          <w:shd w:fill="auto" w:val="clear"/>
        </w:rPr>
        <w:t xml:space="preserve">е</w:t>
      </w:r>
      <w:r>
        <w:rPr>
          <w:rFonts w:ascii="Times New Roman" w:hAnsi="Times New Roman" w:cs="Times New Roman" w:eastAsia="Times New Roman"/>
          <w:color w:val="auto"/>
          <w:spacing w:val="1"/>
          <w:position w:val="0"/>
          <w:sz w:val="24"/>
          <w:shd w:fill="auto" w:val="clear"/>
        </w:rPr>
        <w:t xml:space="preserve">ниет</w:t>
      </w:r>
      <w:r>
        <w:rPr>
          <w:rFonts w:ascii="Times New Roman" w:hAnsi="Times New Roman" w:cs="Times New Roman" w:eastAsia="Times New Roman"/>
          <w:color w:val="auto"/>
          <w:spacing w:val="0"/>
          <w:position w:val="0"/>
          <w:sz w:val="24"/>
          <w:shd w:fill="auto" w:val="clear"/>
        </w:rPr>
        <w:t xml:space="preserve">о</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о</w:t>
      </w:r>
      <w:r>
        <w:rPr>
          <w:rFonts w:ascii="Times New Roman" w:hAnsi="Times New Roman" w:cs="Times New Roman" w:eastAsia="Times New Roman"/>
          <w:color w:val="auto"/>
          <w:spacing w:val="1"/>
          <w:position w:val="0"/>
          <w:sz w:val="24"/>
          <w:shd w:fill="auto" w:val="clear"/>
        </w:rPr>
        <w:t xml:space="preserve">б</w:t>
      </w:r>
      <w:r>
        <w:rPr>
          <w:rFonts w:ascii="Times New Roman" w:hAnsi="Times New Roman" w:cs="Times New Roman" w:eastAsia="Times New Roman"/>
          <w:color w:val="auto"/>
          <w:spacing w:val="-6"/>
          <w:position w:val="0"/>
          <w:sz w:val="24"/>
          <w:shd w:fill="auto" w:val="clear"/>
        </w:rPr>
        <w:t xml:space="preserve">щ</w:t>
      </w:r>
      <w:r>
        <w:rPr>
          <w:rFonts w:ascii="Times New Roman" w:hAnsi="Times New Roman" w:cs="Times New Roman" w:eastAsia="Times New Roman"/>
          <w:color w:val="auto"/>
          <w:spacing w:val="1"/>
          <w:position w:val="0"/>
          <w:sz w:val="24"/>
          <w:shd w:fill="auto" w:val="clear"/>
        </w:rPr>
        <w:t xml:space="preserve">инат</w:t>
      </w:r>
      <w:r>
        <w:rPr>
          <w:rFonts w:ascii="Times New Roman" w:hAnsi="Times New Roman" w:cs="Times New Roman" w:eastAsia="Times New Roman"/>
          <w:color w:val="auto"/>
          <w:spacing w:val="-3"/>
          <w:position w:val="0"/>
          <w:sz w:val="24"/>
          <w:shd w:fill="auto" w:val="clear"/>
        </w:rPr>
        <w:t xml:space="preserve">а</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В</w:t>
      </w:r>
      <w:r>
        <w:rPr>
          <w:rFonts w:ascii="Times New Roman" w:hAnsi="Times New Roman" w:cs="Times New Roman" w:eastAsia="Times New Roman"/>
          <w:color w:val="auto"/>
          <w:spacing w:val="-4"/>
          <w:position w:val="0"/>
          <w:sz w:val="24"/>
          <w:shd w:fill="auto" w:val="clear"/>
        </w:rPr>
        <w:t xml:space="preserve">с</w:t>
      </w:r>
      <w:r>
        <w:rPr>
          <w:rFonts w:ascii="Times New Roman" w:hAnsi="Times New Roman" w:cs="Times New Roman" w:eastAsia="Times New Roman"/>
          <w:color w:val="auto"/>
          <w:spacing w:val="0"/>
          <w:position w:val="0"/>
          <w:sz w:val="24"/>
          <w:shd w:fill="auto" w:val="clear"/>
        </w:rPr>
        <w:t xml:space="preserve">е</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ощ</w:t>
      </w:r>
      <w:r>
        <w:rPr>
          <w:rFonts w:ascii="Times New Roman" w:hAnsi="Times New Roman" w:cs="Times New Roman" w:eastAsia="Times New Roman"/>
          <w:color w:val="auto"/>
          <w:spacing w:val="0"/>
          <w:position w:val="0"/>
          <w:sz w:val="24"/>
          <w:shd w:fill="auto" w:val="clear"/>
        </w:rPr>
        <w:t xml:space="preserve">е</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ви</w:t>
      </w:r>
      <w:r>
        <w:rPr>
          <w:rFonts w:ascii="Times New Roman" w:hAnsi="Times New Roman" w:cs="Times New Roman" w:eastAsia="Times New Roman"/>
          <w:color w:val="auto"/>
          <w:spacing w:val="-5"/>
          <w:position w:val="0"/>
          <w:sz w:val="24"/>
          <w:shd w:fill="auto" w:val="clear"/>
        </w:rPr>
        <w:t xml:space="preserve">с</w:t>
      </w:r>
      <w:r>
        <w:rPr>
          <w:rFonts w:ascii="Times New Roman" w:hAnsi="Times New Roman" w:cs="Times New Roman" w:eastAsia="Times New Roman"/>
          <w:color w:val="auto"/>
          <w:spacing w:val="5"/>
          <w:position w:val="0"/>
          <w:sz w:val="24"/>
          <w:shd w:fill="auto" w:val="clear"/>
        </w:rPr>
        <w:t xml:space="preserve">о</w:t>
      </w:r>
      <w:r>
        <w:rPr>
          <w:rFonts w:ascii="Times New Roman" w:hAnsi="Times New Roman" w:cs="Times New Roman" w:eastAsia="Times New Roman"/>
          <w:color w:val="auto"/>
          <w:spacing w:val="1"/>
          <w:position w:val="0"/>
          <w:sz w:val="24"/>
          <w:shd w:fill="auto" w:val="clear"/>
        </w:rPr>
        <w:t xml:space="preserve">кит</w:t>
      </w:r>
      <w:r>
        <w:rPr>
          <w:rFonts w:ascii="Times New Roman" w:hAnsi="Times New Roman" w:cs="Times New Roman" w:eastAsia="Times New Roman"/>
          <w:color w:val="auto"/>
          <w:spacing w:val="0"/>
          <w:position w:val="0"/>
          <w:sz w:val="24"/>
          <w:shd w:fill="auto" w:val="clear"/>
        </w:rPr>
        <w:t xml:space="preserve">е </w:t>
      </w:r>
      <w:r>
        <w:rPr>
          <w:rFonts w:ascii="Times New Roman" w:hAnsi="Times New Roman" w:cs="Times New Roman" w:eastAsia="Times New Roman"/>
          <w:color w:val="auto"/>
          <w:spacing w:val="1"/>
          <w:position w:val="0"/>
          <w:sz w:val="24"/>
          <w:shd w:fill="auto" w:val="clear"/>
        </w:rPr>
        <w:t xml:space="preserve">с</w:t>
      </w:r>
      <w:r>
        <w:rPr>
          <w:rFonts w:ascii="Times New Roman" w:hAnsi="Times New Roman" w:cs="Times New Roman" w:eastAsia="Times New Roman"/>
          <w:color w:val="auto"/>
          <w:spacing w:val="-6"/>
          <w:position w:val="0"/>
          <w:sz w:val="24"/>
          <w:shd w:fill="auto" w:val="clear"/>
        </w:rPr>
        <w:t xml:space="preserve">т</w:t>
      </w:r>
      <w:r>
        <w:rPr>
          <w:rFonts w:ascii="Times New Roman" w:hAnsi="Times New Roman" w:cs="Times New Roman" w:eastAsia="Times New Roman"/>
          <w:color w:val="auto"/>
          <w:spacing w:val="1"/>
          <w:position w:val="0"/>
          <w:sz w:val="24"/>
          <w:shd w:fill="auto" w:val="clear"/>
        </w:rPr>
        <w:t xml:space="preserve">ойнос</w:t>
      </w:r>
      <w:r>
        <w:rPr>
          <w:rFonts w:ascii="Times New Roman" w:hAnsi="Times New Roman" w:cs="Times New Roman" w:eastAsia="Times New Roman"/>
          <w:color w:val="auto"/>
          <w:spacing w:val="-4"/>
          <w:position w:val="0"/>
          <w:sz w:val="24"/>
          <w:shd w:fill="auto" w:val="clear"/>
        </w:rPr>
        <w:t xml:space="preserve">т</w:t>
      </w:r>
      <w:r>
        <w:rPr>
          <w:rFonts w:ascii="Times New Roman" w:hAnsi="Times New Roman" w:cs="Times New Roman" w:eastAsia="Times New Roman"/>
          <w:color w:val="auto"/>
          <w:spacing w:val="0"/>
          <w:position w:val="0"/>
          <w:sz w:val="24"/>
          <w:shd w:fill="auto" w:val="clear"/>
        </w:rPr>
        <w:t xml:space="preserve">и</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н</w:t>
      </w:r>
      <w:r>
        <w:rPr>
          <w:rFonts w:ascii="Times New Roman" w:hAnsi="Times New Roman" w:cs="Times New Roman" w:eastAsia="Times New Roman"/>
          <w:color w:val="auto"/>
          <w:spacing w:val="0"/>
          <w:position w:val="0"/>
          <w:sz w:val="24"/>
          <w:shd w:fill="auto" w:val="clear"/>
        </w:rPr>
        <w:t xml:space="preserve">а</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кое</w:t>
      </w:r>
      <w:r>
        <w:rPr>
          <w:rFonts w:ascii="Times New Roman" w:hAnsi="Times New Roman" w:cs="Times New Roman" w:eastAsia="Times New Roman"/>
          <w:color w:val="auto"/>
          <w:spacing w:val="-3"/>
          <w:position w:val="0"/>
          <w:sz w:val="24"/>
          <w:shd w:fill="auto" w:val="clear"/>
        </w:rPr>
        <w:t xml:space="preserve">ф</w:t>
      </w:r>
      <w:r>
        <w:rPr>
          <w:rFonts w:ascii="Times New Roman" w:hAnsi="Times New Roman" w:cs="Times New Roman" w:eastAsia="Times New Roman"/>
          <w:color w:val="auto"/>
          <w:spacing w:val="1"/>
          <w:position w:val="0"/>
          <w:sz w:val="24"/>
          <w:shd w:fill="auto" w:val="clear"/>
        </w:rPr>
        <w:t xml:space="preserve">и</w:t>
      </w:r>
      <w:r>
        <w:rPr>
          <w:rFonts w:ascii="Times New Roman" w:hAnsi="Times New Roman" w:cs="Times New Roman" w:eastAsia="Times New Roman"/>
          <w:color w:val="auto"/>
          <w:spacing w:val="-4"/>
          <w:position w:val="0"/>
          <w:sz w:val="24"/>
          <w:shd w:fill="auto" w:val="clear"/>
        </w:rPr>
        <w:t xml:space="preserve">ц</w:t>
      </w:r>
      <w:r>
        <w:rPr>
          <w:rFonts w:ascii="Times New Roman" w:hAnsi="Times New Roman" w:cs="Times New Roman" w:eastAsia="Times New Roman"/>
          <w:color w:val="auto"/>
          <w:spacing w:val="1"/>
          <w:position w:val="0"/>
          <w:sz w:val="24"/>
          <w:shd w:fill="auto" w:val="clear"/>
        </w:rPr>
        <w:t xml:space="preserve">иент</w:t>
      </w:r>
      <w:r>
        <w:rPr>
          <w:rFonts w:ascii="Times New Roman" w:hAnsi="Times New Roman" w:cs="Times New Roman" w:eastAsia="Times New Roman"/>
          <w:color w:val="auto"/>
          <w:spacing w:val="0"/>
          <w:position w:val="0"/>
          <w:sz w:val="24"/>
          <w:shd w:fill="auto" w:val="clear"/>
        </w:rPr>
        <w:t xml:space="preserve">а </w:t>
      </w:r>
      <w:r>
        <w:rPr>
          <w:rFonts w:ascii="Times New Roman" w:hAnsi="Times New Roman" w:cs="Times New Roman" w:eastAsia="Times New Roman"/>
          <w:color w:val="auto"/>
          <w:spacing w:val="1"/>
          <w:position w:val="0"/>
          <w:sz w:val="24"/>
          <w:shd w:fill="auto" w:val="clear"/>
        </w:rPr>
        <w:t xml:space="preserve">н</w:t>
      </w:r>
      <w:r>
        <w:rPr>
          <w:rFonts w:ascii="Times New Roman" w:hAnsi="Times New Roman" w:cs="Times New Roman" w:eastAsia="Times New Roman"/>
          <w:color w:val="auto"/>
          <w:spacing w:val="0"/>
          <w:position w:val="0"/>
          <w:sz w:val="24"/>
          <w:shd w:fill="auto" w:val="clear"/>
        </w:rPr>
        <w:t xml:space="preserve">а</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възра</w:t>
      </w:r>
      <w:r>
        <w:rPr>
          <w:rFonts w:ascii="Times New Roman" w:hAnsi="Times New Roman" w:cs="Times New Roman" w:eastAsia="Times New Roman"/>
          <w:color w:val="auto"/>
          <w:spacing w:val="-4"/>
          <w:position w:val="0"/>
          <w:sz w:val="24"/>
          <w:shd w:fill="auto" w:val="clear"/>
        </w:rPr>
        <w:t xml:space="preserve">ст</w:t>
      </w:r>
      <w:r>
        <w:rPr>
          <w:rFonts w:ascii="Times New Roman" w:hAnsi="Times New Roman" w:cs="Times New Roman" w:eastAsia="Times New Roman"/>
          <w:color w:val="auto"/>
          <w:spacing w:val="5"/>
          <w:position w:val="0"/>
          <w:sz w:val="24"/>
          <w:shd w:fill="auto" w:val="clear"/>
        </w:rPr>
        <w:t xml:space="preserve">о</w:t>
      </w:r>
      <w:r>
        <w:rPr>
          <w:rFonts w:ascii="Times New Roman" w:hAnsi="Times New Roman" w:cs="Times New Roman" w:eastAsia="Times New Roman"/>
          <w:color w:val="auto"/>
          <w:spacing w:val="1"/>
          <w:position w:val="0"/>
          <w:sz w:val="24"/>
          <w:shd w:fill="auto" w:val="clear"/>
        </w:rPr>
        <w:t xml:space="preserve">в</w:t>
      </w:r>
      <w:r>
        <w:rPr>
          <w:rFonts w:ascii="Times New Roman" w:hAnsi="Times New Roman" w:cs="Times New Roman" w:eastAsia="Times New Roman"/>
          <w:color w:val="auto"/>
          <w:spacing w:val="0"/>
          <w:position w:val="0"/>
          <w:sz w:val="24"/>
          <w:shd w:fill="auto" w:val="clear"/>
        </w:rPr>
        <w:t xml:space="preserve">а</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з</w:t>
      </w:r>
      <w:r>
        <w:rPr>
          <w:rFonts w:ascii="Times New Roman" w:hAnsi="Times New Roman" w:cs="Times New Roman" w:eastAsia="Times New Roman"/>
          <w:color w:val="auto"/>
          <w:spacing w:val="-6"/>
          <w:position w:val="0"/>
          <w:sz w:val="24"/>
          <w:shd w:fill="auto" w:val="clear"/>
        </w:rPr>
        <w:t xml:space="preserve">а</w:t>
      </w:r>
      <w:r>
        <w:rPr>
          <w:rFonts w:ascii="Times New Roman" w:hAnsi="Times New Roman" w:cs="Times New Roman" w:eastAsia="Times New Roman"/>
          <w:color w:val="auto"/>
          <w:spacing w:val="1"/>
          <w:position w:val="0"/>
          <w:sz w:val="24"/>
          <w:shd w:fill="auto" w:val="clear"/>
        </w:rPr>
        <w:t xml:space="preserve">виси</w:t>
      </w:r>
      <w:r>
        <w:rPr>
          <w:rFonts w:ascii="Times New Roman" w:hAnsi="Times New Roman" w:cs="Times New Roman" w:eastAsia="Times New Roman"/>
          <w:color w:val="auto"/>
          <w:spacing w:val="-5"/>
          <w:position w:val="0"/>
          <w:sz w:val="24"/>
          <w:shd w:fill="auto" w:val="clear"/>
        </w:rPr>
        <w:t xml:space="preserve">м</w:t>
      </w:r>
      <w:r>
        <w:rPr>
          <w:rFonts w:ascii="Times New Roman" w:hAnsi="Times New Roman" w:cs="Times New Roman" w:eastAsia="Times New Roman"/>
          <w:color w:val="auto"/>
          <w:spacing w:val="5"/>
          <w:position w:val="0"/>
          <w:sz w:val="24"/>
          <w:shd w:fill="auto" w:val="clear"/>
        </w:rPr>
        <w:t xml:space="preserve">о</w:t>
      </w:r>
      <w:r>
        <w:rPr>
          <w:rFonts w:ascii="Times New Roman" w:hAnsi="Times New Roman" w:cs="Times New Roman" w:eastAsia="Times New Roman"/>
          <w:color w:val="auto"/>
          <w:spacing w:val="1"/>
          <w:position w:val="0"/>
          <w:sz w:val="24"/>
          <w:shd w:fill="auto" w:val="clear"/>
        </w:rPr>
        <w:t xml:space="preserve">ст показва</w:t>
      </w:r>
      <w:r>
        <w:rPr>
          <w:rFonts w:ascii="Times New Roman" w:hAnsi="Times New Roman" w:cs="Times New Roman" w:eastAsia="Times New Roman"/>
          <w:color w:val="auto"/>
          <w:spacing w:val="-7"/>
          <w:position w:val="0"/>
          <w:sz w:val="24"/>
          <w:shd w:fill="auto" w:val="clear"/>
        </w:rPr>
        <w:t xml:space="preserve">т</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ч</w:t>
      </w:r>
      <w:r>
        <w:rPr>
          <w:rFonts w:ascii="Times New Roman" w:hAnsi="Times New Roman" w:cs="Times New Roman" w:eastAsia="Times New Roman"/>
          <w:color w:val="auto"/>
          <w:spacing w:val="0"/>
          <w:position w:val="0"/>
          <w:sz w:val="24"/>
          <w:shd w:fill="auto" w:val="clear"/>
        </w:rPr>
        <w:t xml:space="preserve">е</w:t>
      </w:r>
      <w:r>
        <w:rPr>
          <w:rFonts w:ascii="Times New Roman" w:hAnsi="Times New Roman" w:cs="Times New Roman" w:eastAsia="Times New Roman"/>
          <w:color w:val="auto"/>
          <w:spacing w:val="1"/>
          <w:position w:val="0"/>
          <w:sz w:val="24"/>
          <w:shd w:fill="auto" w:val="clear"/>
        </w:rPr>
        <w:t xml:space="preserve"> раз</w:t>
      </w:r>
      <w:r>
        <w:rPr>
          <w:rFonts w:ascii="Times New Roman" w:hAnsi="Times New Roman" w:cs="Times New Roman" w:eastAsia="Times New Roman"/>
          <w:color w:val="auto"/>
          <w:spacing w:val="-8"/>
          <w:position w:val="0"/>
          <w:sz w:val="24"/>
          <w:shd w:fill="auto" w:val="clear"/>
        </w:rPr>
        <w:t xml:space="preserve">х</w:t>
      </w:r>
      <w:r>
        <w:rPr>
          <w:rFonts w:ascii="Times New Roman" w:hAnsi="Times New Roman" w:cs="Times New Roman" w:eastAsia="Times New Roman"/>
          <w:color w:val="auto"/>
          <w:spacing w:val="5"/>
          <w:position w:val="0"/>
          <w:sz w:val="24"/>
          <w:shd w:fill="auto" w:val="clear"/>
        </w:rPr>
        <w:t xml:space="preserve">о</w:t>
      </w:r>
      <w:r>
        <w:rPr>
          <w:rFonts w:ascii="Times New Roman" w:hAnsi="Times New Roman" w:cs="Times New Roman" w:eastAsia="Times New Roman"/>
          <w:color w:val="auto"/>
          <w:spacing w:val="1"/>
          <w:position w:val="0"/>
          <w:sz w:val="24"/>
          <w:shd w:fill="auto" w:val="clear"/>
        </w:rPr>
        <w:t xml:space="preserve">ди</w:t>
      </w:r>
      <w:r>
        <w:rPr>
          <w:rFonts w:ascii="Times New Roman" w:hAnsi="Times New Roman" w:cs="Times New Roman" w:eastAsia="Times New Roman"/>
          <w:color w:val="auto"/>
          <w:spacing w:val="-3"/>
          <w:position w:val="0"/>
          <w:sz w:val="24"/>
          <w:shd w:fill="auto" w:val="clear"/>
        </w:rPr>
        <w:t xml:space="preserve">т</w:t>
      </w:r>
      <w:r>
        <w:rPr>
          <w:rFonts w:ascii="Times New Roman" w:hAnsi="Times New Roman" w:cs="Times New Roman" w:eastAsia="Times New Roman"/>
          <w:color w:val="auto"/>
          <w:spacing w:val="0"/>
          <w:position w:val="0"/>
          <w:sz w:val="24"/>
          <w:shd w:fill="auto" w:val="clear"/>
        </w:rPr>
        <w:t xml:space="preserve">е</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з</w:t>
      </w:r>
      <w:r>
        <w:rPr>
          <w:rFonts w:ascii="Times New Roman" w:hAnsi="Times New Roman" w:cs="Times New Roman" w:eastAsia="Times New Roman"/>
          <w:color w:val="auto"/>
          <w:spacing w:val="0"/>
          <w:position w:val="0"/>
          <w:sz w:val="24"/>
          <w:shd w:fill="auto" w:val="clear"/>
        </w:rPr>
        <w:t xml:space="preserve">а</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изд</w:t>
      </w:r>
      <w:r>
        <w:rPr>
          <w:rFonts w:ascii="Times New Roman" w:hAnsi="Times New Roman" w:cs="Times New Roman" w:eastAsia="Times New Roman"/>
          <w:color w:val="auto"/>
          <w:spacing w:val="-3"/>
          <w:position w:val="0"/>
          <w:sz w:val="24"/>
          <w:shd w:fill="auto" w:val="clear"/>
        </w:rPr>
        <w:t xml:space="preserve">р</w:t>
      </w:r>
      <w:r>
        <w:rPr>
          <w:rFonts w:ascii="Times New Roman" w:hAnsi="Times New Roman" w:cs="Times New Roman" w:eastAsia="Times New Roman"/>
          <w:color w:val="auto"/>
          <w:spacing w:val="1"/>
          <w:position w:val="0"/>
          <w:sz w:val="24"/>
          <w:shd w:fill="auto" w:val="clear"/>
        </w:rPr>
        <w:t xml:space="preserve">ъжк</w:t>
      </w:r>
      <w:r>
        <w:rPr>
          <w:rFonts w:ascii="Times New Roman" w:hAnsi="Times New Roman" w:cs="Times New Roman" w:eastAsia="Times New Roman"/>
          <w:color w:val="auto"/>
          <w:spacing w:val="0"/>
          <w:position w:val="0"/>
          <w:sz w:val="24"/>
          <w:shd w:fill="auto" w:val="clear"/>
        </w:rPr>
        <w:t xml:space="preserve">а </w:t>
      </w:r>
      <w:r>
        <w:rPr>
          <w:rFonts w:ascii="Times New Roman" w:hAnsi="Times New Roman" w:cs="Times New Roman" w:eastAsia="Times New Roman"/>
          <w:color w:val="auto"/>
          <w:spacing w:val="1"/>
          <w:position w:val="0"/>
          <w:sz w:val="24"/>
          <w:shd w:fill="auto" w:val="clear"/>
        </w:rPr>
        <w:t xml:space="preserve">н</w:t>
      </w:r>
      <w:r>
        <w:rPr>
          <w:rFonts w:ascii="Times New Roman" w:hAnsi="Times New Roman" w:cs="Times New Roman" w:eastAsia="Times New Roman"/>
          <w:color w:val="auto"/>
          <w:spacing w:val="0"/>
          <w:position w:val="0"/>
          <w:sz w:val="24"/>
          <w:shd w:fill="auto" w:val="clear"/>
        </w:rPr>
        <w:t xml:space="preserve">а</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ст</w:t>
      </w:r>
      <w:r>
        <w:rPr>
          <w:rFonts w:ascii="Times New Roman" w:hAnsi="Times New Roman" w:cs="Times New Roman" w:eastAsia="Times New Roman"/>
          <w:color w:val="auto"/>
          <w:spacing w:val="-4"/>
          <w:position w:val="0"/>
          <w:sz w:val="24"/>
          <w:shd w:fill="auto" w:val="clear"/>
        </w:rPr>
        <w:t xml:space="preserve">а</w:t>
      </w:r>
      <w:r>
        <w:rPr>
          <w:rFonts w:ascii="Times New Roman" w:hAnsi="Times New Roman" w:cs="Times New Roman" w:eastAsia="Times New Roman"/>
          <w:color w:val="auto"/>
          <w:spacing w:val="1"/>
          <w:position w:val="0"/>
          <w:sz w:val="24"/>
          <w:shd w:fill="auto" w:val="clear"/>
        </w:rPr>
        <w:t xml:space="preserve">рит</w:t>
      </w:r>
      <w:r>
        <w:rPr>
          <w:rFonts w:ascii="Times New Roman" w:hAnsi="Times New Roman" w:cs="Times New Roman" w:eastAsia="Times New Roman"/>
          <w:color w:val="auto"/>
          <w:spacing w:val="0"/>
          <w:position w:val="0"/>
          <w:sz w:val="24"/>
          <w:shd w:fill="auto" w:val="clear"/>
        </w:rPr>
        <w:t xml:space="preserve">е</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х</w:t>
      </w:r>
      <w:r>
        <w:rPr>
          <w:rFonts w:ascii="Times New Roman" w:hAnsi="Times New Roman" w:cs="Times New Roman" w:eastAsia="Times New Roman"/>
          <w:color w:val="auto"/>
          <w:spacing w:val="5"/>
          <w:position w:val="0"/>
          <w:sz w:val="24"/>
          <w:shd w:fill="auto" w:val="clear"/>
        </w:rPr>
        <w:t xml:space="preserve">о</w:t>
      </w:r>
      <w:r>
        <w:rPr>
          <w:rFonts w:ascii="Times New Roman" w:hAnsi="Times New Roman" w:cs="Times New Roman" w:eastAsia="Times New Roman"/>
          <w:color w:val="auto"/>
          <w:spacing w:val="1"/>
          <w:position w:val="0"/>
          <w:sz w:val="24"/>
          <w:shd w:fill="auto" w:val="clear"/>
        </w:rPr>
        <w:t xml:space="preserve">р</w:t>
      </w:r>
      <w:r>
        <w:rPr>
          <w:rFonts w:ascii="Times New Roman" w:hAnsi="Times New Roman" w:cs="Times New Roman" w:eastAsia="Times New Roman"/>
          <w:color w:val="auto"/>
          <w:spacing w:val="0"/>
          <w:position w:val="0"/>
          <w:sz w:val="24"/>
          <w:shd w:fill="auto" w:val="clear"/>
        </w:rPr>
        <w:t xml:space="preserve">а</w:t>
      </w:r>
      <w:r>
        <w:rPr>
          <w:rFonts w:ascii="Times New Roman" w:hAnsi="Times New Roman" w:cs="Times New Roman" w:eastAsia="Times New Roman"/>
          <w:color w:val="auto"/>
          <w:spacing w:val="1"/>
          <w:position w:val="0"/>
          <w:sz w:val="24"/>
          <w:shd w:fill="auto" w:val="clear"/>
        </w:rPr>
        <w:t xml:space="preserve"> з</w:t>
      </w:r>
      <w:r>
        <w:rPr>
          <w:rFonts w:ascii="Times New Roman" w:hAnsi="Times New Roman" w:cs="Times New Roman" w:eastAsia="Times New Roman"/>
          <w:color w:val="auto"/>
          <w:spacing w:val="0"/>
          <w:position w:val="0"/>
          <w:sz w:val="24"/>
          <w:shd w:fill="auto" w:val="clear"/>
        </w:rPr>
        <w:t xml:space="preserve">а</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зд</w:t>
      </w:r>
      <w:r>
        <w:rPr>
          <w:rFonts w:ascii="Times New Roman" w:hAnsi="Times New Roman" w:cs="Times New Roman" w:eastAsia="Times New Roman"/>
          <w:color w:val="auto"/>
          <w:spacing w:val="-3"/>
          <w:position w:val="0"/>
          <w:sz w:val="24"/>
          <w:shd w:fill="auto" w:val="clear"/>
        </w:rPr>
        <w:t xml:space="preserve">р</w:t>
      </w:r>
      <w:r>
        <w:rPr>
          <w:rFonts w:ascii="Times New Roman" w:hAnsi="Times New Roman" w:cs="Times New Roman" w:eastAsia="Times New Roman"/>
          <w:color w:val="auto"/>
          <w:spacing w:val="1"/>
          <w:position w:val="0"/>
          <w:sz w:val="24"/>
          <w:shd w:fill="auto" w:val="clear"/>
        </w:rPr>
        <w:t xml:space="preserve">авн</w:t>
      </w:r>
      <w:r>
        <w:rPr>
          <w:rFonts w:ascii="Times New Roman" w:hAnsi="Times New Roman" w:cs="Times New Roman" w:eastAsia="Times New Roman"/>
          <w:color w:val="auto"/>
          <w:spacing w:val="0"/>
          <w:position w:val="0"/>
          <w:sz w:val="24"/>
          <w:shd w:fill="auto" w:val="clear"/>
        </w:rPr>
        <w:t xml:space="preserve">и</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w:t>
      </w:r>
      <w:r>
        <w:rPr>
          <w:rFonts w:ascii="Times New Roman" w:hAnsi="Times New Roman" w:cs="Times New Roman" w:eastAsia="Times New Roman"/>
          <w:color w:val="auto"/>
          <w:spacing w:val="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социалн</w:t>
      </w:r>
      <w:r>
        <w:rPr>
          <w:rFonts w:ascii="Times New Roman" w:hAnsi="Times New Roman" w:cs="Times New Roman" w:eastAsia="Times New Roman"/>
          <w:color w:val="auto"/>
          <w:spacing w:val="0"/>
          <w:position w:val="0"/>
          <w:sz w:val="24"/>
          <w:shd w:fill="auto" w:val="clear"/>
        </w:rPr>
        <w:t xml:space="preserve">и</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10"/>
          <w:position w:val="0"/>
          <w:sz w:val="24"/>
          <w:shd w:fill="auto" w:val="clear"/>
        </w:rPr>
        <w:t xml:space="preserve">у</w:t>
      </w:r>
      <w:r>
        <w:rPr>
          <w:rFonts w:ascii="Times New Roman" w:hAnsi="Times New Roman" w:cs="Times New Roman" w:eastAsia="Times New Roman"/>
          <w:color w:val="auto"/>
          <w:spacing w:val="1"/>
          <w:position w:val="0"/>
          <w:sz w:val="24"/>
          <w:shd w:fill="auto" w:val="clear"/>
        </w:rPr>
        <w:t xml:space="preserve">сл</w:t>
      </w:r>
      <w:r>
        <w:rPr>
          <w:rFonts w:ascii="Times New Roman" w:hAnsi="Times New Roman" w:cs="Times New Roman" w:eastAsia="Times New Roman"/>
          <w:color w:val="auto"/>
          <w:spacing w:val="-3"/>
          <w:position w:val="0"/>
          <w:sz w:val="24"/>
          <w:shd w:fill="auto" w:val="clear"/>
        </w:rPr>
        <w:t xml:space="preserve">у</w:t>
      </w:r>
      <w:r>
        <w:rPr>
          <w:rFonts w:ascii="Times New Roman" w:hAnsi="Times New Roman" w:cs="Times New Roman" w:eastAsia="Times New Roman"/>
          <w:color w:val="auto"/>
          <w:spacing w:val="1"/>
          <w:position w:val="0"/>
          <w:sz w:val="24"/>
          <w:shd w:fill="auto" w:val="clear"/>
        </w:rPr>
        <w:t xml:space="preserve">г</w:t>
      </w:r>
      <w:r>
        <w:rPr>
          <w:rFonts w:ascii="Times New Roman" w:hAnsi="Times New Roman" w:cs="Times New Roman" w:eastAsia="Times New Roman"/>
          <w:color w:val="auto"/>
          <w:spacing w:val="0"/>
          <w:position w:val="0"/>
          <w:sz w:val="24"/>
          <w:shd w:fill="auto" w:val="clear"/>
        </w:rPr>
        <w:t xml:space="preserve">и</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ст</w:t>
      </w:r>
      <w:r>
        <w:rPr>
          <w:rFonts w:ascii="Times New Roman" w:hAnsi="Times New Roman" w:cs="Times New Roman" w:eastAsia="Times New Roman"/>
          <w:color w:val="auto"/>
          <w:spacing w:val="-4"/>
          <w:position w:val="0"/>
          <w:sz w:val="24"/>
          <w:shd w:fill="auto" w:val="clear"/>
        </w:rPr>
        <w:t xml:space="preserve">а</w:t>
      </w:r>
      <w:r>
        <w:rPr>
          <w:rFonts w:ascii="Times New Roman" w:hAnsi="Times New Roman" w:cs="Times New Roman" w:eastAsia="Times New Roman"/>
          <w:color w:val="auto"/>
          <w:spacing w:val="1"/>
          <w:position w:val="0"/>
          <w:sz w:val="24"/>
          <w:shd w:fill="auto" w:val="clear"/>
        </w:rPr>
        <w:t xml:space="preserve">ва</w:t>
      </w:r>
      <w:r>
        <w:rPr>
          <w:rFonts w:ascii="Times New Roman" w:hAnsi="Times New Roman" w:cs="Times New Roman" w:eastAsia="Times New Roman"/>
          <w:color w:val="auto"/>
          <w:spacing w:val="0"/>
          <w:position w:val="0"/>
          <w:sz w:val="24"/>
          <w:shd w:fill="auto" w:val="clear"/>
        </w:rPr>
        <w:t xml:space="preserve">т</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п</w:t>
      </w:r>
      <w:r>
        <w:rPr>
          <w:rFonts w:ascii="Times New Roman" w:hAnsi="Times New Roman" w:cs="Times New Roman" w:eastAsia="Times New Roman"/>
          <w:color w:val="auto"/>
          <w:spacing w:val="4"/>
          <w:position w:val="0"/>
          <w:sz w:val="24"/>
          <w:shd w:fill="auto" w:val="clear"/>
        </w:rPr>
        <w:t xml:space="preserve">о</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гол</w:t>
      </w:r>
      <w:r>
        <w:rPr>
          <w:rFonts w:ascii="Times New Roman" w:hAnsi="Times New Roman" w:cs="Times New Roman" w:eastAsia="Times New Roman"/>
          <w:color w:val="auto"/>
          <w:spacing w:val="-3"/>
          <w:position w:val="0"/>
          <w:sz w:val="24"/>
          <w:shd w:fill="auto" w:val="clear"/>
        </w:rPr>
        <w:t xml:space="preserve">е</w:t>
      </w:r>
      <w:r>
        <w:rPr>
          <w:rFonts w:ascii="Times New Roman" w:hAnsi="Times New Roman" w:cs="Times New Roman" w:eastAsia="Times New Roman"/>
          <w:color w:val="auto"/>
          <w:spacing w:val="1"/>
          <w:position w:val="0"/>
          <w:sz w:val="24"/>
          <w:shd w:fill="auto" w:val="clear"/>
        </w:rPr>
        <w:t xml:space="preserve">ми</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66"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213" w:hanging="213"/>
        <w:jc w:val="both"/>
        <w:rPr>
          <w:rFonts w:ascii="Times New Roman" w:hAnsi="Times New Roman" w:cs="Times New Roman" w:eastAsia="Times New Roman"/>
          <w:color w:val="auto"/>
          <w:spacing w:val="0"/>
          <w:position w:val="-1"/>
          <w:sz w:val="24"/>
          <w:shd w:fill="auto" w:val="clear"/>
        </w:rPr>
      </w:pPr>
      <w:r>
        <w:rPr>
          <w:rFonts w:ascii="Times New Roman" w:hAnsi="Times New Roman" w:cs="Times New Roman" w:eastAsia="Times New Roman"/>
          <w:color w:val="auto"/>
          <w:spacing w:val="1"/>
          <w:position w:val="0"/>
          <w:sz w:val="24"/>
          <w:shd w:fill="auto" w:val="clear"/>
        </w:rPr>
        <w:t xml:space="preserve">Наличе</w:t>
      </w:r>
      <w:r>
        <w:rPr>
          <w:rFonts w:ascii="Times New Roman" w:hAnsi="Times New Roman" w:cs="Times New Roman" w:eastAsia="Times New Roman"/>
          <w:color w:val="auto"/>
          <w:spacing w:val="0"/>
          <w:position w:val="0"/>
          <w:sz w:val="24"/>
          <w:shd w:fill="auto" w:val="clear"/>
        </w:rPr>
        <w:t xml:space="preserve">н</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4"/>
          <w:position w:val="0"/>
          <w:sz w:val="24"/>
          <w:shd w:fill="auto" w:val="clear"/>
        </w:rPr>
        <w:t xml:space="preserve">п</w:t>
      </w:r>
      <w:r>
        <w:rPr>
          <w:rFonts w:ascii="Times New Roman" w:hAnsi="Times New Roman" w:cs="Times New Roman" w:eastAsia="Times New Roman"/>
          <w:color w:val="auto"/>
          <w:spacing w:val="6"/>
          <w:position w:val="0"/>
          <w:sz w:val="24"/>
          <w:shd w:fill="auto" w:val="clear"/>
        </w:rPr>
        <w:t xml:space="preserve">е</w:t>
      </w:r>
      <w:r>
        <w:rPr>
          <w:rFonts w:ascii="Times New Roman" w:hAnsi="Times New Roman" w:cs="Times New Roman" w:eastAsia="Times New Roman"/>
          <w:color w:val="auto"/>
          <w:spacing w:val="1"/>
          <w:position w:val="0"/>
          <w:sz w:val="24"/>
          <w:shd w:fill="auto" w:val="clear"/>
        </w:rPr>
        <w:t xml:space="preserve">рсона</w:t>
      </w:r>
      <w:r>
        <w:rPr>
          <w:rFonts w:ascii="Times New Roman" w:hAnsi="Times New Roman" w:cs="Times New Roman" w:eastAsia="Times New Roman"/>
          <w:color w:val="auto"/>
          <w:spacing w:val="0"/>
          <w:position w:val="0"/>
          <w:sz w:val="24"/>
          <w:shd w:fill="auto" w:val="clear"/>
        </w:rPr>
        <w:t xml:space="preserve">л</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действащ</w:t>
      </w:r>
      <w:r>
        <w:rPr>
          <w:rFonts w:ascii="Times New Roman" w:hAnsi="Times New Roman" w:cs="Times New Roman" w:eastAsia="Times New Roman"/>
          <w:color w:val="auto"/>
          <w:spacing w:val="5"/>
          <w:position w:val="0"/>
          <w:sz w:val="24"/>
          <w:shd w:fill="auto" w:val="clear"/>
        </w:rPr>
        <w:t xml:space="preserve">и</w:t>
      </w:r>
      <w:r>
        <w:rPr>
          <w:rFonts w:ascii="Times New Roman" w:hAnsi="Times New Roman" w:cs="Times New Roman" w:eastAsia="Times New Roman"/>
          <w:color w:val="auto"/>
          <w:spacing w:val="1"/>
          <w:position w:val="0"/>
          <w:sz w:val="24"/>
          <w:shd w:fill="auto" w:val="clear"/>
        </w:rPr>
        <w:t xml:space="preserve">т</w:t>
      </w:r>
      <w:r>
        <w:rPr>
          <w:rFonts w:ascii="Times New Roman" w:hAnsi="Times New Roman" w:cs="Times New Roman" w:eastAsia="Times New Roman"/>
          <w:color w:val="auto"/>
          <w:spacing w:val="0"/>
          <w:position w:val="0"/>
          <w:sz w:val="24"/>
          <w:shd w:fill="auto" w:val="clear"/>
        </w:rPr>
        <w:t xml:space="preserve">е</w:t>
      </w:r>
      <w:r>
        <w:rPr>
          <w:rFonts w:ascii="Times New Roman" w:hAnsi="Times New Roman" w:cs="Times New Roman" w:eastAsia="Times New Roman"/>
          <w:color w:val="auto"/>
          <w:spacing w:val="-15"/>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социалн</w:t>
      </w:r>
      <w:r>
        <w:rPr>
          <w:rFonts w:ascii="Times New Roman" w:hAnsi="Times New Roman" w:cs="Times New Roman" w:eastAsia="Times New Roman"/>
          <w:color w:val="auto"/>
          <w:spacing w:val="0"/>
          <w:position w:val="0"/>
          <w:sz w:val="24"/>
          <w:shd w:fill="auto" w:val="clear"/>
        </w:rPr>
        <w:t xml:space="preserve">и</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1"/>
          <w:position w:val="0"/>
          <w:sz w:val="24"/>
          <w:shd w:fill="auto" w:val="clear"/>
        </w:rPr>
        <w:t xml:space="preserve">услуги-</w:t>
      </w:r>
      <w:r>
        <w:rPr>
          <w:rFonts w:ascii="Times New Roman" w:hAnsi="Times New Roman" w:cs="Times New Roman" w:eastAsia="Times New Roman"/>
          <w:color w:val="auto"/>
          <w:spacing w:val="2"/>
          <w:position w:val="-1"/>
          <w:sz w:val="24"/>
          <w:shd w:fill="auto" w:val="clear"/>
        </w:rPr>
        <w:t xml:space="preserve"> к</w:t>
      </w:r>
      <w:r>
        <w:rPr>
          <w:rFonts w:ascii="Times New Roman" w:hAnsi="Times New Roman" w:cs="Times New Roman" w:eastAsia="Times New Roman"/>
          <w:color w:val="auto"/>
          <w:spacing w:val="-2"/>
          <w:position w:val="-1"/>
          <w:sz w:val="24"/>
          <w:shd w:fill="auto" w:val="clear"/>
        </w:rPr>
        <w:t xml:space="preserve">ъ</w:t>
      </w:r>
      <w:r>
        <w:rPr>
          <w:rFonts w:ascii="Times New Roman" w:hAnsi="Times New Roman" w:cs="Times New Roman" w:eastAsia="Times New Roman"/>
          <w:color w:val="auto"/>
          <w:spacing w:val="0"/>
          <w:position w:val="-1"/>
          <w:sz w:val="24"/>
          <w:shd w:fill="auto" w:val="clear"/>
        </w:rPr>
        <w:t xml:space="preserve">м</w:t>
      </w:r>
      <w:r>
        <w:rPr>
          <w:rFonts w:ascii="Times New Roman" w:hAnsi="Times New Roman" w:cs="Times New Roman" w:eastAsia="Times New Roman"/>
          <w:color w:val="auto"/>
          <w:spacing w:val="-3"/>
          <w:position w:val="-1"/>
          <w:sz w:val="24"/>
          <w:shd w:fill="auto" w:val="clear"/>
        </w:rPr>
        <w:t xml:space="preserve"> </w:t>
      </w:r>
      <w:r>
        <w:rPr>
          <w:rFonts w:ascii="Times New Roman" w:hAnsi="Times New Roman" w:cs="Times New Roman" w:eastAsia="Times New Roman"/>
          <w:color w:val="auto"/>
          <w:spacing w:val="0"/>
          <w:position w:val="-1"/>
          <w:sz w:val="24"/>
          <w:shd w:fill="auto" w:val="clear"/>
        </w:rPr>
        <w:t xml:space="preserve">м. </w:t>
      </w:r>
      <w:r>
        <w:rPr>
          <w:rFonts w:ascii="Times New Roman" w:hAnsi="Times New Roman" w:cs="Times New Roman" w:eastAsia="Times New Roman"/>
          <w:color w:val="auto"/>
          <w:spacing w:val="2"/>
          <w:position w:val="-1"/>
          <w:sz w:val="24"/>
          <w:shd w:fill="auto" w:val="clear"/>
        </w:rPr>
        <w:t xml:space="preserve">декември</w:t>
      </w:r>
      <w:r>
        <w:rPr>
          <w:rFonts w:ascii="Times New Roman" w:hAnsi="Times New Roman" w:cs="Times New Roman" w:eastAsia="Times New Roman"/>
          <w:color w:val="auto"/>
          <w:spacing w:val="-6"/>
          <w:position w:val="-1"/>
          <w:sz w:val="24"/>
          <w:shd w:fill="auto" w:val="clear"/>
        </w:rPr>
        <w:t xml:space="preserve"> 2022</w:t>
      </w:r>
      <w:r>
        <w:rPr>
          <w:rFonts w:ascii="Times New Roman" w:hAnsi="Times New Roman" w:cs="Times New Roman" w:eastAsia="Times New Roman"/>
          <w:color w:val="auto"/>
          <w:spacing w:val="0"/>
          <w:position w:val="-1"/>
          <w:sz w:val="24"/>
          <w:shd w:fill="auto" w:val="clear"/>
        </w:rPr>
        <w:t xml:space="preserve"> </w:t>
      </w:r>
      <w:r>
        <w:rPr>
          <w:rFonts w:ascii="Times New Roman" w:hAnsi="Times New Roman" w:cs="Times New Roman" w:eastAsia="Times New Roman"/>
          <w:color w:val="auto"/>
          <w:spacing w:val="-3"/>
          <w:position w:val="-1"/>
          <w:sz w:val="24"/>
          <w:shd w:fill="auto" w:val="clear"/>
        </w:rPr>
        <w:t xml:space="preserve">г</w:t>
      </w:r>
      <w:r>
        <w:rPr>
          <w:rFonts w:ascii="Times New Roman" w:hAnsi="Times New Roman" w:cs="Times New Roman" w:eastAsia="Times New Roman"/>
          <w:color w:val="auto"/>
          <w:spacing w:val="0"/>
          <w:position w:val="-1"/>
          <w:sz w:val="24"/>
          <w:shd w:fill="auto" w:val="clear"/>
        </w:rPr>
        <w:t xml:space="preserve">. </w:t>
      </w:r>
      <w:r>
        <w:rPr>
          <w:rFonts w:ascii="Times New Roman" w:hAnsi="Times New Roman" w:cs="Times New Roman" w:eastAsia="Times New Roman"/>
          <w:color w:val="auto"/>
          <w:spacing w:val="0"/>
          <w:position w:val="-1"/>
          <w:sz w:val="24"/>
          <w:shd w:fill="auto" w:val="clear"/>
        </w:rPr>
        <w:t xml:space="preserve">–</w:t>
      </w:r>
      <w:r>
        <w:rPr>
          <w:rFonts w:ascii="Times New Roman" w:hAnsi="Times New Roman" w:cs="Times New Roman" w:eastAsia="Times New Roman"/>
          <w:color w:val="auto"/>
          <w:spacing w:val="0"/>
          <w:position w:val="-1"/>
          <w:sz w:val="24"/>
          <w:shd w:fill="auto" w:val="clear"/>
        </w:rPr>
        <w:t xml:space="preserve"> 36.</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keepNext w:val="true"/>
        <w:numPr>
          <w:ilvl w:val="0"/>
          <w:numId w:val="7972"/>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ХАДЖИДИМОВО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Хаджидимово информацията за населението по настоящ адрес е получена от информационна система ГРАО, НСИ и от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Хаджидимово, към 31.12.2021 г. е 10029 жители, от тях 1 536 деца до 18-годишна възраст (15,3%). Общия брой на лицата с трайни увреждания е 630, от тях деца 70 (11,11%).</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Хаджидимово са разкрити 2 социални услуги. Общият капацитет на социалните услуги е 45 потребители, в т.ч. 25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673"/>
        <w:gridCol w:w="2693"/>
        <w:gridCol w:w="1694"/>
      </w:tblGrid>
      <w:tr>
        <w:trPr>
          <w:trHeight w:val="1" w:hRule="atLeast"/>
          <w:jc w:val="left"/>
        </w:trPr>
        <w:tc>
          <w:tcPr>
            <w:tcW w:w="467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69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ДЦСХ</w:t>
            </w:r>
          </w:p>
        </w:tc>
        <w:tc>
          <w:tcPr>
            <w:tcW w:w="169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467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69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6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67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69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6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Хаджидимово</w:t>
      </w:r>
    </w:p>
    <w:p>
      <w:pPr>
        <w:tabs>
          <w:tab w:val="left" w:pos="16776496"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Социалната услуга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Асистентска подкрепа“ работи с пълен капацитет и към 31.12.2022 г. в списъка на чакащите са 24 лица, които спешно се нуждаят от предоставяне на социалната услуга.</w:t>
      </w:r>
    </w:p>
    <w:p>
      <w:pPr>
        <w:tabs>
          <w:tab w:val="left" w:pos="16776496"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Банско,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В община Хаджидимово няма потребители на социални услуги от други общини.</w:t>
      </w:r>
    </w:p>
    <w:p>
      <w:pPr>
        <w:spacing w:before="0" w:after="0" w:line="240"/>
        <w:ind w:right="0" w:left="0" w:firstLine="0"/>
        <w:jc w:val="both"/>
        <w:rPr>
          <w:rFonts w:ascii="Times New Roman" w:hAnsi="Times New Roman" w:cs="Times New Roman" w:eastAsia="Times New Roman"/>
          <w:color w:val="auto"/>
          <w:spacing w:val="0"/>
          <w:position w:val="0"/>
          <w:sz w:val="24"/>
          <w:shd w:fill="FFFFFF"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Хаджидимово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FFFFFF" w:val="clear"/>
        </w:rPr>
      </w:pP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Данните на общинско ниво за основните демографски показатели - раждаемост, смъртност и естествен прираст, показват неблагоприятни тенденции за естествено възпроизводство на населението през анализирания пет годишен период. </w:t>
      </w:r>
      <w:r>
        <w:rPr>
          <w:rFonts w:ascii="Times New Roman" w:hAnsi="Times New Roman" w:cs="Times New Roman" w:eastAsia="Times New Roman"/>
          <w:color w:val="000000"/>
          <w:spacing w:val="0"/>
          <w:position w:val="0"/>
          <w:sz w:val="24"/>
          <w:shd w:fill="auto" w:val="clear"/>
        </w:rPr>
        <w:t xml:space="preserve">Естественият прираст на населението е отрицателна величина в резултат на намаляване броя на родените и увеличаване броя на починалите.</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Въз основа на определените минимални изисквания в стандартите за качество на социалните услуги, касаещи броя и квалификацията на необходимите служители към момента на извършване на анализа не е необходима промяна в щатното разписание на броя на служителите, извършващи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FFFFFF" w:val="clear"/>
        </w:rPr>
      </w:pPr>
    </w:p>
    <w:p>
      <w:pPr>
        <w:keepNext w:val="true"/>
        <w:numPr>
          <w:ilvl w:val="0"/>
          <w:numId w:val="7987"/>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ЯКОРУДА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Якоруда информацията за населението по настоящ адрес е получена от информационна система ГРАО, НСИ и от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Якоруда към 31.12.2021 г. е 9344 жители, от тях 1 905 деца до 18-годишна възраст (20,39%). Общия брой на лицата с трайни увреждания е 1015, от тях деца 29 (2,85%).</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Якоруда са разкрити 3 социални услуги. Общият капацитет на социалните услуги е 85 потребители, в т.ч. 25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514"/>
        <w:gridCol w:w="2217"/>
        <w:gridCol w:w="1854"/>
        <w:gridCol w:w="1475"/>
      </w:tblGrid>
      <w:tr>
        <w:trPr>
          <w:trHeight w:val="1" w:hRule="atLeast"/>
          <w:jc w:val="left"/>
        </w:trPr>
        <w:tc>
          <w:tcPr>
            <w:tcW w:w="3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21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ДЦДУ</w:t>
            </w:r>
          </w:p>
        </w:tc>
        <w:tc>
          <w:tcPr>
            <w:tcW w:w="185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1475"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351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2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8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51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2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8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c>
          <w:tcPr>
            <w:tcW w:w="14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Якоруда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Якоруда няма желаещи да ползват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Якоруда,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Якоруда, от други общини 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271" w:hRule="auto"/>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ДЦДУ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Якоруда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Естественият прираст на населението е отрицателна величина в резултат на намаляване броя на родените и увеличаване броя на умрелите.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8010"/>
        </w:numPr>
        <w:tabs>
          <w:tab w:val="left" w:pos="718" w:leader="none"/>
        </w:tabs>
        <w:spacing w:before="0" w:after="0" w:line="240"/>
        <w:ind w:right="0" w:left="142"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АНАЛИЗ НА ПОТРЕБНОСТИТЕ В ОБЛАСТ БЛАГОЕВГРАД (обобщено)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обобщени за област Благоевград по общини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общините от област Благоевград информацията за населението по критериите съгласно Наредбата за планиране на социалните услуги е получена от НСИ, информационна система ГРАО на общините, Агенция за хората с увреждания, РЗИ, от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от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 кметове и кметски наместници, училища, лечебни заведения, социални услуги и др.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област Благоевград, към 31.12.2021 г. е 288 381 жители, от тях 52 272 деца до 18-годишна възраст. Общия брой на лицата с трайни увреждания е 21 347, от тях деца 980 (4,59%).</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областта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брои на социалните услуги на територията на област Благоевград е 106 с 2484 потребители. Броят на социалните услуги за пълнолетни лица е 76 със 1787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за деца са 28 със 653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графиките е видно, че на територията на областта услугите за резидентна грижа (ЦНСТ, ЗЖ) 33 услуги за 386 потребители, услугите в домашна среда (АП)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14 </w:t>
      </w:r>
      <w:r>
        <w:rPr>
          <w:rFonts w:ascii="Times New Roman" w:hAnsi="Times New Roman" w:cs="Times New Roman" w:eastAsia="Times New Roman"/>
          <w:color w:val="auto"/>
          <w:spacing w:val="0"/>
          <w:position w:val="0"/>
          <w:sz w:val="24"/>
          <w:shd w:fill="auto" w:val="clear"/>
        </w:rPr>
        <w:t xml:space="preserve">услуги за 698 потребители, услугите в специализирани институции за пълнолетни лица (ДСХ) 3 услуги за 141 потребители и консултативни услуги (ЦОП, ЦСРИ)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18 </w:t>
      </w:r>
      <w:r>
        <w:rPr>
          <w:rFonts w:ascii="Times New Roman" w:hAnsi="Times New Roman" w:cs="Times New Roman" w:eastAsia="Times New Roman"/>
          <w:color w:val="auto"/>
          <w:spacing w:val="0"/>
          <w:position w:val="0"/>
          <w:sz w:val="24"/>
          <w:shd w:fill="auto" w:val="clear"/>
        </w:rPr>
        <w:t xml:space="preserve">услуги за 483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област Благоевград</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ДЦПЛУ</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ДЦСХ</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ЦНСТДМУ</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ЗЖЛУИ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ЗЖЛПР</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ЗЖЛФУ</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ЦНСТПЛД</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ЦНСТПЛПР</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99</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ЦНСТПЛУИ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ЦНСТПЛФУ</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Асистентска подкрепа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191</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Общо 400 лица са включени в списъците на чакащите за ползване на социални услуги в териториалния обхват на област Благоевград. Голям е и броят на лицата за включване в Асистентска подкрепа -191 бр.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област Благоевград, различна от  общината по настоящ адрес</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и интегрирани здравно-социални услуги на територията на област Благоевград различна от общината по настоящ адрес е 720. Най-голям е техният брой в социалните услуги на територията на общините Гоце Делчев  и Кресна. В община Хаджидимово няма потребители от други общини, в община Банско са 2.</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графиката е представено сравнение между функциониращите към момента социални услуги, финансирани от държавния бюджет, съотнесени към социалните услуги по чл. 15 от ЗСУ, максималния брой потребители, съгласно критериите по Наредбата за планиране на социалните услуги и поетите ангажименти от общините в областта.</w:t>
      </w:r>
    </w:p>
    <w:p>
      <w:pPr>
        <w:spacing w:before="0" w:after="0" w:line="240"/>
        <w:ind w:right="0" w:left="0" w:firstLine="709"/>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област Благоевград за последните 5 години</w:t>
      </w:r>
    </w:p>
    <w:p>
      <w:pPr>
        <w:spacing w:before="0" w:after="0" w:line="240"/>
        <w:ind w:right="0" w:left="0" w:firstLine="709"/>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Анализа на данните на демографското развитие в област Благоевград за периода 2021 г.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2017 </w:t>
      </w:r>
      <w:r>
        <w:rPr>
          <w:rFonts w:ascii="Times New Roman" w:hAnsi="Times New Roman" w:cs="Times New Roman" w:eastAsia="Times New Roman"/>
          <w:color w:val="auto"/>
          <w:spacing w:val="0"/>
          <w:position w:val="0"/>
          <w:sz w:val="24"/>
          <w:shd w:fill="auto" w:val="clear"/>
        </w:rPr>
        <w:t xml:space="preserve">г. показва тенденция към намаление на броя на населението във всички общини.</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Във всички общини се отчита ниска раждаемост с тенденция към намаление, висока смъртност и отрицателен естествен прираст. Прогресивно намаляване на относителния дял на лицата в трудоспособна възраст. Устойчива тенденция към емиграция и обезлюдяване. Висок е броя на хората с увреждания, както и на самотно живеещите стари хора от  селата в общината, с невъзможност за самообслужване.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Всички тези фактори, показват че на територията на областта населението застарява и има необходимост от социални услуги за резидентна грижа и услуги в домашна среда.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По-голяма част от социалните услуги в областта са обезпечени със служители, необходими за предоставянето им. Общините са използвали различни възможности за наемане на необходимите служители за извършване на дейностите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специалисти се търсят както в Дирекции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Бюра по труда“, така и на свободния пазар, като на работа се наемат и пенсионери. На база на предоставената от общините информация за заетостта на служителите в социалните услуги, се очертава тенденция за недостиг основно на медицински специалисти.</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Една от предпоставките за ефективност на социалните услуги е наличието на квалифициран и мотивиран персонал. Развитието и обучението на човешките ресурси в тази област е важна предпоставка за качествени услуги, които да съдействат за повишаване и качеството на живот на отделните индивиди, семейства и групи.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Благоевград</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са ключов фактор за ефективно социално включване и участие в живота на обществото на всички групи лица, които имат необходимост от подкрепа. Във основа на направения анализ на състоянието на социалните услуги на територията на областта и очерталите се тенденции, могат да се направят следните изводи: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има разкрити много социални услуги за резидентна грижа за пълнолетни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По-малък е броят на услугите за дневна и почасова грижа и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 територията на областта няма интегрирани здравно-социални услуги за деца и пълнолетни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Осигуряването на равен достъп до услуги на всички нуждаещи се чрез планиране на социални услуги, съгласно реалните потребности и нужди и равномерно разпределение на социалните услуги на територията на област Благоевград са съществена част от политиките на областната и общинските администрации.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8053"/>
        </w:numPr>
        <w:tabs>
          <w:tab w:val="left" w:pos="718" w:leader="none"/>
        </w:tabs>
        <w:spacing w:before="0" w:after="0" w:line="240"/>
        <w:ind w:right="0" w:left="718" w:hanging="576"/>
        <w:jc w:val="both"/>
        <w:rPr>
          <w:rFonts w:ascii="Times New Roman" w:hAnsi="Times New Roman" w:cs="Times New Roman" w:eastAsia="Times New Roman"/>
          <w:b/>
          <w:color w:val="003366"/>
          <w:spacing w:val="0"/>
          <w:position w:val="0"/>
          <w:sz w:val="28"/>
          <w:shd w:fill="auto" w:val="clear"/>
        </w:rPr>
      </w:pPr>
      <w:r>
        <w:rPr>
          <w:rFonts w:ascii="Times New Roman" w:hAnsi="Times New Roman" w:cs="Times New Roman" w:eastAsia="Times New Roman"/>
          <w:b/>
          <w:color w:val="003366"/>
          <w:spacing w:val="0"/>
          <w:position w:val="0"/>
          <w:sz w:val="28"/>
          <w:shd w:fill="auto" w:val="clear"/>
        </w:rPr>
        <w:t xml:space="preserve">ОБЛАСТ ПЕРНИК </w:t>
      </w:r>
    </w:p>
    <w:p>
      <w:pPr>
        <w:keepNext w:val="true"/>
        <w:numPr>
          <w:ilvl w:val="0"/>
          <w:numId w:val="8053"/>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БРЕЗНИК</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Брезник информацията за населението по настоящ адрес е получена от Национален статистически институт (НСИ), ГРАО,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(ДСП) - Перник, Дирекция "Бюро по труда"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Перник, образователни институции, Местната комисия за борба с противообществените прояви на малолетни и непълнолетни (МКБППМН), Инспектор от отдел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Детска педагогическа стая“ към РУ-Брезник и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Брезник, към 31.12.2021 г. е 5 904 жители, от тях 813 деца до 18-годишна възраст (13,77%). Общия брой на лицата с трайни увреждания е 932, от тях деца 24 (2,58%).</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Брезник са разкрити 3 социални услуги, които се предоставят в гр. Брезник. Общият капацитет на социалните услуги е 67 потребители, в т.ч. 37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026"/>
        <w:gridCol w:w="2214"/>
        <w:gridCol w:w="1970"/>
        <w:gridCol w:w="1850"/>
      </w:tblGrid>
      <w:tr>
        <w:trPr>
          <w:trHeight w:val="1" w:hRule="atLeast"/>
          <w:jc w:val="center"/>
        </w:trPr>
        <w:tc>
          <w:tcPr>
            <w:tcW w:w="302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21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ЦНСТПЛФУ</w:t>
            </w:r>
          </w:p>
        </w:tc>
        <w:tc>
          <w:tcPr>
            <w:tcW w:w="197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ЦНСТПЛД</w:t>
            </w:r>
          </w:p>
        </w:tc>
        <w:tc>
          <w:tcPr>
            <w:tcW w:w="185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center"/>
        </w:trPr>
        <w:tc>
          <w:tcPr>
            <w:tcW w:w="30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2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9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center"/>
        </w:trPr>
        <w:tc>
          <w:tcPr>
            <w:tcW w:w="30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2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19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1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37</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Брезник</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Брезник е 6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ЦНСТПЛФУ</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ЦНСТПЛД</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Брезник,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Брезник, от други общини е 18.</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497"/>
        <w:gridCol w:w="5563"/>
      </w:tblGrid>
      <w:tr>
        <w:trPr>
          <w:trHeight w:val="1" w:hRule="atLeast"/>
          <w:jc w:val="left"/>
        </w:trPr>
        <w:tc>
          <w:tcPr>
            <w:tcW w:w="3497"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5563"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349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ЦНСТПЛФУ</w:t>
            </w:r>
          </w:p>
        </w:tc>
        <w:tc>
          <w:tcPr>
            <w:tcW w:w="556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r>
        <w:trPr>
          <w:trHeight w:val="1" w:hRule="atLeast"/>
          <w:jc w:val="left"/>
        </w:trPr>
        <w:tc>
          <w:tcPr>
            <w:tcW w:w="349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ЦНСТПЛД</w:t>
            </w:r>
          </w:p>
        </w:tc>
        <w:tc>
          <w:tcPr>
            <w:tcW w:w="556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Брезник за последните 5 години</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Демографската картина за община Брезник е неблагоприятна и следва тенденцията в страната. Графиката показва стабилна тенденция за намаляване броя на населението, като миграционните процеси са свързани най-вече с безработицата в региона и с желание на младите хора да упражняват квалифицирана работа. В резултат на преселванията населението на селата намалява, респективно се увеличава населението в град Брезник. Нарастването на броя на селата с минимален брой население затруднява осигуряването на минимални публични услуги за тях и по-конкретно в здравното обслужване на населението, което е икономически бедно, хронически болно и застаряващо.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Налице е тенденция на продължаващо застаряване на населението, както в резултат на засилените миграционни процеси, така и в резултат на естествените процеси на раждаемост и смъртност. Ниската раждаемост и високата обща смъртност, определят висок отрицателен естествен прираст. Намаляването на младите възрастови групи и увеличаване на относителният дял на населението във високите възрасти свива възможностите за неговото възпроизводство. Този процес се изразява и в намаляване на относителния дял на населението в подтрудоспособна възраст, за сметка на нарастване на дела на населението в надтрудоспособна възраст.</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момента няма незаети места в социалните услуги в община Брезник. В бъдеще време ще има остра нужда от кадри с медицинско образование, т. к. в момента всички медицински сестри, работещи в резидентните услуги са в пенсионна възраст.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8087"/>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ЗЕМЕН</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Земен информацията за населението по настоящ адрес е получена от ГРАО, НСИ,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Радомир, Районна здравноосигурителна каса (РЗОК)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Перник,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Перник, МКБППМН, образователни институции и ръководители на социални услуги в община Земен.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Земен е 2013 жители, от тях 168 деца до 18-годишна възраст (8,35%). Общия брой на лицата с трайни увреждания е 413, от тях деца 13 (3,15%).</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Земен функционира само социалната услуга Асистентска подкрепа с 20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5556"/>
        <w:gridCol w:w="3504"/>
      </w:tblGrid>
      <w:tr>
        <w:trPr>
          <w:trHeight w:val="1" w:hRule="atLeast"/>
          <w:jc w:val="center"/>
        </w:trPr>
        <w:tc>
          <w:tcPr>
            <w:tcW w:w="5556"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3504" w:type="dxa"/>
            <w:tcBorders>
              <w:top w:val="single" w:color="000000" w:sz="4"/>
              <w:left w:val="single" w:color="000000" w:sz="4"/>
              <w:bottom w:val="single" w:color="000000" w:sz="4"/>
              <w:right w:val="single" w:color="000000" w:sz="4"/>
            </w:tcBorders>
            <w:shd w:color="auto" w:fill="5b9bd5"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center"/>
        </w:trPr>
        <w:tc>
          <w:tcPr>
            <w:tcW w:w="55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35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center"/>
        </w:trPr>
        <w:tc>
          <w:tcPr>
            <w:tcW w:w="55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35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Земен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желаещи да ползват социални услуги на територията на община Земен.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Земен,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Земен няма лица от други населени места, желаещи да ползват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Земен за последните 5 години</w:t>
      </w: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Демографската картина за община Земен е неблагоприятна и следва тенденцията в страната. Налице е висок отрицателен естествен прираст. Населението застарява, както в резултат на естествените процеси на ниска раждаемост и висока обща смъртност, така и в резултат на засилените миграционни процеси. Наблюдава се тенденция към намаляване броя на населението, като миграционните процеси са свързани най-вече с безработицата в региона и с желание на младите хора да упражняват квалифицирана работа.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Тенденцията на продължаващо застаряване на населението е силно подчертана за селата. Този процес се изразява в намаляване на относителния дял на населението в под трудоспособна възраст, за сметка на нарастване на дела на населението в над трудоспособна възраст, което свива възможностите за неговото възпроизводство.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Нарастването на броя на селата с минимален брой население, като в някой от тях има обезлюдяване, води до затруднено осигуряване на минимални публични услуги и до риск от социално изключване.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бъдеще време община Земен ще изпита остра нужда от кадри с медицинско образование.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8098"/>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КОВАЧЕВЦИ</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Ковачевци информацията за населението по настоящ адрес е получена от НСИ, ГРАО,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Радомир,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Перник, МКБППМН, образователни институции, болници и ръководители на социални услуги в общината.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Ковачевци е 1 262 жители, от тях 112 деца до 18-годишна възраст (8,87%). Общия брой на лицата с трайни увреждания е 285, от тях деца 3 (1,05%).</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Ковачевци функционират 2 социални услуги, които се предоставят в с. Сирищник. Общият капацитет на социалните услуги е 25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729"/>
        <w:gridCol w:w="4331"/>
      </w:tblGrid>
      <w:tr>
        <w:trPr>
          <w:trHeight w:val="1" w:hRule="atLeast"/>
          <w:jc w:val="left"/>
        </w:trPr>
        <w:tc>
          <w:tcPr>
            <w:tcW w:w="4729"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4331"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ЦНСТПЛД</w:t>
            </w:r>
          </w:p>
        </w:tc>
      </w:tr>
      <w:tr>
        <w:trPr>
          <w:trHeight w:val="1" w:hRule="atLeast"/>
          <w:jc w:val="left"/>
        </w:trPr>
        <w:tc>
          <w:tcPr>
            <w:tcW w:w="472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433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472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433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Ковачевци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Броят на желаещите да ползват социални услуги на територията на община Ковачевци е 3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439"/>
        <w:gridCol w:w="5621"/>
      </w:tblGrid>
      <w:tr>
        <w:trPr>
          <w:trHeight w:val="1" w:hRule="atLeast"/>
          <w:jc w:val="left"/>
        </w:trPr>
        <w:tc>
          <w:tcPr>
            <w:tcW w:w="3439"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621"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4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ЦНСТПЛД</w:t>
            </w:r>
          </w:p>
        </w:tc>
        <w:tc>
          <w:tcPr>
            <w:tcW w:w="56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Ковачевци,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Ковачевци, от други общини е 25. </w:t>
      </w:r>
    </w:p>
    <w:tbl>
      <w:tblPr/>
      <w:tblGrid>
        <w:gridCol w:w="3439"/>
        <w:gridCol w:w="5621"/>
      </w:tblGrid>
      <w:tr>
        <w:trPr>
          <w:trHeight w:val="1" w:hRule="atLeast"/>
          <w:jc w:val="left"/>
        </w:trPr>
        <w:tc>
          <w:tcPr>
            <w:tcW w:w="3439"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5621"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34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ЦНСТПЛД</w:t>
            </w:r>
          </w:p>
        </w:tc>
        <w:tc>
          <w:tcPr>
            <w:tcW w:w="56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Ковачевци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Продължава тенденцията за абсолютното намаляване на населението и се регистрира влошаване на всички демографски показатели - отрицателен естествен прираст, ниска раждаемост, висока смъртност, прогресивно намалява абсолютният дял на лицата в трудоспособна възраст, застаряване на населението, висок дял на хората с увреждания, както и на самотно живеещите стари хора. Емиграцията е с ясно изразени външно-миграционни процеси, като най-висок дял имат младите хора.  Всички населени места са със статут села, поради което броя на селското население на общината е равен на броя на населението 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6"/>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предоставените данни за наличните социални услуги на територията на община Ковачевци е видно, че те са обезпечени със служители, необходими за предоставяне на съответните услуги. Свободна е 1 щ. бр. за длъжността санитар и се планира трансформиране на 0,5 щ. бр. трудотерапевт в длъжността психолог.</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8123"/>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ПЕРНИК</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за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Перник информацията за населението по настоящ адрес е получена от НСИ, ГРАО, общинска администрация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Перник, Отдел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Общински координационен механизъм по деинституционализация“ (ОКМД), МКБППМН,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Перник,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Перник, РЗОК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Перник; МБАЛ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Р. Ангелова“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Перник, РЗИ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Перник, образователни институции и ръководители на социални услуги в община Перник.</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Перник е 84 347 жители, от тях 13 895 деца до 18-годишна възраст (16,47%). Общия брой на лицата с трайни увреждания е 11 713, от тях деца 357 (3,05%).</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Перник са разкрити 14 социални услуги, които се предоставят в гр. Перник. Общият капацитет на социалните услуги е за 589 потребители, в т.ч. 306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552"/>
        <w:gridCol w:w="1066"/>
        <w:gridCol w:w="1048"/>
        <w:gridCol w:w="1106"/>
        <w:gridCol w:w="1107"/>
        <w:gridCol w:w="1112"/>
        <w:gridCol w:w="1201"/>
        <w:gridCol w:w="868"/>
      </w:tblGrid>
      <w:tr>
        <w:trPr>
          <w:trHeight w:val="1" w:hRule="atLeast"/>
          <w:jc w:val="left"/>
        </w:trPr>
        <w:tc>
          <w:tcPr>
            <w:tcW w:w="1552"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066"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ДЦДМУ</w:t>
            </w:r>
          </w:p>
        </w:tc>
        <w:tc>
          <w:tcPr>
            <w:tcW w:w="1048"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ДЦПЛУ</w:t>
            </w:r>
          </w:p>
        </w:tc>
        <w:tc>
          <w:tcPr>
            <w:tcW w:w="1106"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ЦСРИД</w:t>
            </w:r>
          </w:p>
        </w:tc>
        <w:tc>
          <w:tcPr>
            <w:tcW w:w="1107"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ЦСРИПЛ</w:t>
            </w:r>
          </w:p>
        </w:tc>
        <w:tc>
          <w:tcPr>
            <w:tcW w:w="1112"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ЦСРИ</w:t>
            </w:r>
          </w:p>
        </w:tc>
        <w:tc>
          <w:tcPr>
            <w:tcW w:w="1201"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ЗЖЛУИ</w:t>
            </w:r>
          </w:p>
        </w:tc>
        <w:tc>
          <w:tcPr>
            <w:tcW w:w="868"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АП</w:t>
            </w:r>
          </w:p>
        </w:tc>
      </w:tr>
      <w:tr>
        <w:trPr>
          <w:trHeight w:val="1" w:hRule="atLeast"/>
          <w:jc w:val="left"/>
        </w:trPr>
        <w:tc>
          <w:tcPr>
            <w:tcW w:w="1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Брой СУ</w:t>
            </w:r>
          </w:p>
        </w:tc>
        <w:tc>
          <w:tcPr>
            <w:tcW w:w="10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w:t>
            </w:r>
          </w:p>
        </w:tc>
        <w:tc>
          <w:tcPr>
            <w:tcW w:w="10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1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1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1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2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8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r>
      <w:tr>
        <w:trPr>
          <w:trHeight w:val="1" w:hRule="atLeast"/>
          <w:jc w:val="left"/>
        </w:trPr>
        <w:tc>
          <w:tcPr>
            <w:tcW w:w="1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Брой потребители</w:t>
            </w:r>
          </w:p>
        </w:tc>
        <w:tc>
          <w:tcPr>
            <w:tcW w:w="10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51</w:t>
            </w:r>
          </w:p>
        </w:tc>
        <w:tc>
          <w:tcPr>
            <w:tcW w:w="10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36</w:t>
            </w:r>
          </w:p>
        </w:tc>
        <w:tc>
          <w:tcPr>
            <w:tcW w:w="11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40</w:t>
            </w:r>
          </w:p>
        </w:tc>
        <w:tc>
          <w:tcPr>
            <w:tcW w:w="11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20</w:t>
            </w:r>
          </w:p>
        </w:tc>
        <w:tc>
          <w:tcPr>
            <w:tcW w:w="11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16</w:t>
            </w:r>
          </w:p>
        </w:tc>
        <w:tc>
          <w:tcPr>
            <w:tcW w:w="12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8</w:t>
            </w:r>
          </w:p>
        </w:tc>
        <w:tc>
          <w:tcPr>
            <w:tcW w:w="8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306</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643"/>
        <w:gridCol w:w="802"/>
        <w:gridCol w:w="1465"/>
        <w:gridCol w:w="2185"/>
        <w:gridCol w:w="1384"/>
        <w:gridCol w:w="786"/>
        <w:gridCol w:w="795"/>
      </w:tblGrid>
      <w:tr>
        <w:trPr>
          <w:trHeight w:val="1" w:hRule="atLeast"/>
          <w:jc w:val="left"/>
        </w:trPr>
        <w:tc>
          <w:tcPr>
            <w:tcW w:w="1643"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802"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ЦОП</w:t>
            </w:r>
          </w:p>
        </w:tc>
        <w:tc>
          <w:tcPr>
            <w:tcW w:w="1465"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ЦНСТДМУ</w:t>
            </w:r>
          </w:p>
        </w:tc>
        <w:tc>
          <w:tcPr>
            <w:tcW w:w="2185"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ЦНСТДМУППМГ</w:t>
            </w:r>
          </w:p>
        </w:tc>
        <w:tc>
          <w:tcPr>
            <w:tcW w:w="1384"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ЦНСТДБУ</w:t>
            </w:r>
          </w:p>
        </w:tc>
        <w:tc>
          <w:tcPr>
            <w:tcW w:w="786"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КЦД</w:t>
            </w:r>
          </w:p>
        </w:tc>
        <w:tc>
          <w:tcPr>
            <w:tcW w:w="795"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КЦЛ</w:t>
            </w:r>
          </w:p>
        </w:tc>
      </w:tr>
      <w:tr>
        <w:trPr>
          <w:trHeight w:val="1" w:hRule="atLeast"/>
          <w:jc w:val="left"/>
        </w:trPr>
        <w:tc>
          <w:tcPr>
            <w:tcW w:w="16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Брой СУ</w:t>
            </w:r>
          </w:p>
        </w:tc>
        <w:tc>
          <w:tcPr>
            <w:tcW w:w="8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21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3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7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7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r>
      <w:tr>
        <w:trPr>
          <w:trHeight w:val="1" w:hRule="atLeast"/>
          <w:jc w:val="left"/>
        </w:trPr>
        <w:tc>
          <w:tcPr>
            <w:tcW w:w="16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Брой потребители</w:t>
            </w:r>
          </w:p>
        </w:tc>
        <w:tc>
          <w:tcPr>
            <w:tcW w:w="8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60</w:t>
            </w:r>
          </w:p>
        </w:tc>
        <w:tc>
          <w:tcPr>
            <w:tcW w:w="1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14</w:t>
            </w:r>
          </w:p>
        </w:tc>
        <w:tc>
          <w:tcPr>
            <w:tcW w:w="21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8</w:t>
            </w:r>
          </w:p>
        </w:tc>
        <w:tc>
          <w:tcPr>
            <w:tcW w:w="13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12</w:t>
            </w:r>
          </w:p>
        </w:tc>
        <w:tc>
          <w:tcPr>
            <w:tcW w:w="7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6</w:t>
            </w:r>
          </w:p>
        </w:tc>
        <w:tc>
          <w:tcPr>
            <w:tcW w:w="7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12</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Перник</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желаещи да ползват социални услуги на територията на община Перник.</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Перник,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Лицата от други общини, които ползват социални услуги на територията на община Перник са 63. </w:t>
      </w:r>
    </w:p>
    <w:tbl>
      <w:tblPr/>
      <w:tblGrid>
        <w:gridCol w:w="3439"/>
        <w:gridCol w:w="5621"/>
      </w:tblGrid>
      <w:tr>
        <w:trPr>
          <w:trHeight w:val="1" w:hRule="atLeast"/>
          <w:jc w:val="left"/>
        </w:trPr>
        <w:tc>
          <w:tcPr>
            <w:tcW w:w="3439"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5621"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34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56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r>
        <w:trPr>
          <w:trHeight w:val="1" w:hRule="atLeast"/>
          <w:jc w:val="left"/>
        </w:trPr>
        <w:tc>
          <w:tcPr>
            <w:tcW w:w="34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56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34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ЦСРИД</w:t>
            </w:r>
          </w:p>
        </w:tc>
        <w:tc>
          <w:tcPr>
            <w:tcW w:w="56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34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w:t>
            </w:r>
          </w:p>
        </w:tc>
        <w:tc>
          <w:tcPr>
            <w:tcW w:w="56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r>
      <w:tr>
        <w:trPr>
          <w:trHeight w:val="1" w:hRule="atLeast"/>
          <w:jc w:val="left"/>
        </w:trPr>
        <w:tc>
          <w:tcPr>
            <w:tcW w:w="34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w:t>
            </w:r>
          </w:p>
        </w:tc>
        <w:tc>
          <w:tcPr>
            <w:tcW w:w="56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r>
        <w:trPr>
          <w:trHeight w:val="1" w:hRule="atLeast"/>
          <w:jc w:val="left"/>
        </w:trPr>
        <w:tc>
          <w:tcPr>
            <w:tcW w:w="34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56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r>
        <w:trPr>
          <w:trHeight w:val="1" w:hRule="atLeast"/>
          <w:jc w:val="left"/>
        </w:trPr>
        <w:tc>
          <w:tcPr>
            <w:tcW w:w="34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ЗЖПЛУИ</w:t>
            </w:r>
          </w:p>
        </w:tc>
        <w:tc>
          <w:tcPr>
            <w:tcW w:w="56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1" w:hRule="atLeast"/>
          <w:jc w:val="left"/>
        </w:trPr>
        <w:tc>
          <w:tcPr>
            <w:tcW w:w="34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КЦД  </w:t>
            </w:r>
          </w:p>
        </w:tc>
        <w:tc>
          <w:tcPr>
            <w:tcW w:w="56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34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КЦПЛ</w:t>
            </w:r>
          </w:p>
        </w:tc>
        <w:tc>
          <w:tcPr>
            <w:tcW w:w="56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Перник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Анализът на данните и в община Перник показва сходни демографски проблеми, като застаряване на населението, ниска раждаемост, висока смъртност и отрицателен естествен прираст, прогресивно намаление на относителния дял на лицата в трудоспособна възраст, устойчива тенденция към миграционно движение и обезлюдяване на някои населени места в общината поради застаряващото население, влошеното икономическо състояние в региона и неблагоприятната екологична обстановка.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003366"/>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Населението е разположено предимно в градовете Перник и Батановци, като в първия е концентрирано образование, култура, стопански център. В селските райони, където живеят главно възрастни хора, се налага предоставянето на социални услуги с мобилна група, за да може да се осигури необходимият достъп до тях.</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социалните услуги, на територията на общината е нает необходимият персонал за осигуряване на грижа за потребителите на услугите. При някои социални услуги е необходимо увеличаване на щатните бройки за достигане до минималните изисквания в стандартите за качество по НКСУ.</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Дългогодишен проблем в сферата на социалните услуги е заплащането на служителите. Това е в основата на наличното текучество на човешки ресурс и липсата на основни и препоръчителни специалисти (рехабилитатор, кинезитерапевт, логопед, специален педагог, медицинска сестра и др.)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Перник изпитва остра нужда от кадри с медицинско образование. Към момента всички медицински сестри, работещи в социалните услуги са в пенсионна възраст, някои от тях в напреднала.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8166"/>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РАДОМИР</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Радомир информацията за населението по настоящ адрес е получена от ГРАО, РУО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Перник,  РЗИ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Перник, РЗОК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Перник, НСИ, Районно управление “Полиция“-Радомир, Детска педагогическа стая, ДСП-Радомир,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Перник, общинска администрация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Радомир, МКБППМН, социални услуги в общината, образователни и медицински институции, граждански организации и НПО.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Радомир, към 31.12.2021 г. е 18 408 жители, от тях 1 896 деца до 18-годишна възраст (10,3%). Общия брой на лицата с трайни увреждания е 2 366, от тях деца 122 (5,16%).</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Радомир са разкрити 8 социални услуги, от тях 4 се предоставят в гр. Радомир, 2 в с. Дрен и 2 в с. Извор. Общият капацитет на социалните услуги е за 324 потребители, в т.ч. 77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529"/>
        <w:gridCol w:w="935"/>
        <w:gridCol w:w="953"/>
        <w:gridCol w:w="1268"/>
        <w:gridCol w:w="1300"/>
        <w:gridCol w:w="902"/>
        <w:gridCol w:w="1213"/>
        <w:gridCol w:w="960"/>
      </w:tblGrid>
      <w:tr>
        <w:trPr>
          <w:trHeight w:val="1" w:hRule="atLeast"/>
          <w:jc w:val="left"/>
        </w:trPr>
        <w:tc>
          <w:tcPr>
            <w:tcW w:w="1529"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935"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ДСХ</w:t>
            </w:r>
          </w:p>
        </w:tc>
        <w:tc>
          <w:tcPr>
            <w:tcW w:w="953"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ДЦСХ</w:t>
            </w:r>
          </w:p>
        </w:tc>
        <w:tc>
          <w:tcPr>
            <w:tcW w:w="1268"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ДЦПЛУ </w:t>
            </w:r>
          </w:p>
        </w:tc>
        <w:tc>
          <w:tcPr>
            <w:tcW w:w="1300"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ЦНСТДБУ</w:t>
            </w:r>
          </w:p>
        </w:tc>
        <w:tc>
          <w:tcPr>
            <w:tcW w:w="902"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ЦОП</w:t>
            </w:r>
          </w:p>
        </w:tc>
        <w:tc>
          <w:tcPr>
            <w:tcW w:w="1213"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ЗЖЛФУ</w:t>
            </w:r>
          </w:p>
        </w:tc>
        <w:tc>
          <w:tcPr>
            <w:tcW w:w="960"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АП</w:t>
            </w:r>
          </w:p>
        </w:tc>
      </w:tr>
      <w:tr>
        <w:trPr>
          <w:trHeight w:val="1" w:hRule="atLeast"/>
          <w:jc w:val="left"/>
        </w:trPr>
        <w:tc>
          <w:tcPr>
            <w:tcW w:w="15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Брой СУ</w:t>
            </w:r>
          </w:p>
        </w:tc>
        <w:tc>
          <w:tcPr>
            <w:tcW w:w="9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95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3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w:t>
            </w:r>
          </w:p>
        </w:tc>
        <w:tc>
          <w:tcPr>
            <w:tcW w:w="9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2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9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r>
      <w:tr>
        <w:trPr>
          <w:trHeight w:val="1" w:hRule="atLeast"/>
          <w:jc w:val="left"/>
        </w:trPr>
        <w:tc>
          <w:tcPr>
            <w:tcW w:w="15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Брой потребители</w:t>
            </w:r>
          </w:p>
        </w:tc>
        <w:tc>
          <w:tcPr>
            <w:tcW w:w="9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150</w:t>
            </w:r>
          </w:p>
        </w:tc>
        <w:tc>
          <w:tcPr>
            <w:tcW w:w="95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19</w:t>
            </w:r>
          </w:p>
        </w:tc>
        <w:tc>
          <w:tcPr>
            <w:tcW w:w="1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6</w:t>
            </w:r>
          </w:p>
        </w:tc>
        <w:tc>
          <w:tcPr>
            <w:tcW w:w="13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24</w:t>
            </w:r>
          </w:p>
        </w:tc>
        <w:tc>
          <w:tcPr>
            <w:tcW w:w="9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40</w:t>
            </w:r>
          </w:p>
        </w:tc>
        <w:tc>
          <w:tcPr>
            <w:tcW w:w="12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8</w:t>
            </w:r>
          </w:p>
        </w:tc>
        <w:tc>
          <w:tcPr>
            <w:tcW w:w="9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77</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Радомир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Радомир е 8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bl>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Радомир,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Радомир, от други общини е 102.</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1"/>
        <w:gridCol w:w="4509"/>
      </w:tblGrid>
      <w:tr>
        <w:trPr>
          <w:trHeight w:val="1" w:hRule="atLeast"/>
          <w:jc w:val="left"/>
        </w:trPr>
        <w:tc>
          <w:tcPr>
            <w:tcW w:w="4541" w:type="dxa"/>
            <w:tcBorders>
              <w:top w:val="single" w:color="000000" w:sz="8"/>
              <w:left w:val="single" w:color="000000" w:sz="8"/>
              <w:bottom w:val="single" w:color="000000" w:sz="8"/>
              <w:right w:val="single" w:color="000000" w:sz="8"/>
            </w:tcBorders>
            <w:shd w:color="auto" w:fill="acb9ca"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Вид СУ</w:t>
            </w:r>
          </w:p>
        </w:tc>
        <w:tc>
          <w:tcPr>
            <w:tcW w:w="4509" w:type="dxa"/>
            <w:tcBorders>
              <w:top w:val="single" w:color="000000" w:sz="8"/>
              <w:left w:val="single" w:color="000000" w:sz="0"/>
              <w:bottom w:val="single" w:color="000000" w:sz="8"/>
              <w:right w:val="single" w:color="000000" w:sz="8"/>
            </w:tcBorders>
            <w:shd w:color="auto" w:fill="acb9ca"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потребители от други общини</w:t>
            </w:r>
          </w:p>
        </w:tc>
      </w:tr>
      <w:tr>
        <w:trPr>
          <w:trHeight w:val="1" w:hRule="atLeast"/>
          <w:jc w:val="left"/>
        </w:trPr>
        <w:tc>
          <w:tcPr>
            <w:tcW w:w="4541"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4509"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84</w:t>
            </w:r>
          </w:p>
        </w:tc>
      </w:tr>
      <w:tr>
        <w:trPr>
          <w:trHeight w:val="1" w:hRule="atLeast"/>
          <w:jc w:val="left"/>
        </w:trPr>
        <w:tc>
          <w:tcPr>
            <w:tcW w:w="4541"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ЗЖЛФУ</w:t>
            </w:r>
          </w:p>
        </w:tc>
        <w:tc>
          <w:tcPr>
            <w:tcW w:w="4509"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1" w:hRule="atLeast"/>
          <w:jc w:val="left"/>
        </w:trPr>
        <w:tc>
          <w:tcPr>
            <w:tcW w:w="4541"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4509"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Радомир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Основните демографски проблеми касаят застаряване на населението и регресивен тип възрастова структура, ниска раждаемост, висока смъртност и отрицателен естествен прираст, прогресивно намаление на относителния дял на лицата в трудоспособна възраст и устойчива тенденция към миграционно движение и обезлюдяване на някои населени места в общината. В населените места, където живеят предимно възрастни хора, се налага предоставянето на социални услуги с мобилна група, за да може да се осигури необходимият достъп до необходимите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предоставените данни за наличните социални услуги на територията на община Радомир е видно, че те са обезпечени със служители, необходими за предоставяне на съответните услуги. При някои социални услуги е необходимо увеличаване на щатните бройки (12 лица)за достигане до минималните изисквания в стандартите за качество по НКСУ.</w:t>
      </w:r>
    </w:p>
    <w:p>
      <w:pPr>
        <w:keepNext w:val="true"/>
        <w:numPr>
          <w:ilvl w:val="0"/>
          <w:numId w:val="8197"/>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ТРЪН</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Трън информацията за населението по настоящ адрес е получена от НСИ, ГРАО, ДСП-Трън, МЗ, МВР, МОН и социалните услуги в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Трън, към 31.12.2021 г. е 4 175 жители, от тях 674 деца до 18-годишна възраст (16,14%). Общия брой на лицата с трайни увреждания е 537, от тях деца 16 (2,98%).</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Трън са разкрити 6 социални услуги, които се предоставят в гр. Трън. Общият капацитет на социалните услуги е за 124 потребители, в т.ч. 34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975"/>
        <w:gridCol w:w="1482"/>
        <w:gridCol w:w="1819"/>
        <w:gridCol w:w="1317"/>
        <w:gridCol w:w="988"/>
        <w:gridCol w:w="1479"/>
      </w:tblGrid>
      <w:tr>
        <w:trPr>
          <w:trHeight w:val="1" w:hRule="atLeast"/>
          <w:jc w:val="left"/>
        </w:trPr>
        <w:tc>
          <w:tcPr>
            <w:tcW w:w="1975"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482"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ЦНСТСХ</w:t>
            </w:r>
          </w:p>
        </w:tc>
        <w:tc>
          <w:tcPr>
            <w:tcW w:w="1819"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ЦНСТПЛФУ</w:t>
            </w:r>
          </w:p>
        </w:tc>
        <w:tc>
          <w:tcPr>
            <w:tcW w:w="1317"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ЦСРИ</w:t>
            </w:r>
          </w:p>
        </w:tc>
        <w:tc>
          <w:tcPr>
            <w:tcW w:w="988"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ЦОП</w:t>
            </w:r>
          </w:p>
        </w:tc>
        <w:tc>
          <w:tcPr>
            <w:tcW w:w="1479"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АП</w:t>
            </w:r>
          </w:p>
        </w:tc>
      </w:tr>
      <w:tr>
        <w:trPr>
          <w:trHeight w:val="1" w:hRule="atLeast"/>
          <w:jc w:val="left"/>
        </w:trPr>
        <w:tc>
          <w:tcPr>
            <w:tcW w:w="19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Брой СУ</w:t>
            </w:r>
          </w:p>
        </w:tc>
        <w:tc>
          <w:tcPr>
            <w:tcW w:w="14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8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w:t>
            </w:r>
          </w:p>
        </w:tc>
        <w:tc>
          <w:tcPr>
            <w:tcW w:w="13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9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4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r>
      <w:tr>
        <w:trPr>
          <w:trHeight w:val="1" w:hRule="atLeast"/>
          <w:jc w:val="left"/>
        </w:trPr>
        <w:tc>
          <w:tcPr>
            <w:tcW w:w="19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Брой потребители</w:t>
            </w:r>
          </w:p>
        </w:tc>
        <w:tc>
          <w:tcPr>
            <w:tcW w:w="14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15</w:t>
            </w:r>
          </w:p>
        </w:tc>
        <w:tc>
          <w:tcPr>
            <w:tcW w:w="18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25</w:t>
            </w:r>
          </w:p>
        </w:tc>
        <w:tc>
          <w:tcPr>
            <w:tcW w:w="13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20</w:t>
            </w:r>
          </w:p>
        </w:tc>
        <w:tc>
          <w:tcPr>
            <w:tcW w:w="9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30</w:t>
            </w:r>
          </w:p>
        </w:tc>
        <w:tc>
          <w:tcPr>
            <w:tcW w:w="14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34</w:t>
            </w:r>
          </w:p>
        </w:tc>
      </w:tr>
    </w:tbl>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Трън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Трън е 2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ЦНСТСХ</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bl>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Трън,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Трън, от други общини е 7.</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6"/>
        <w:gridCol w:w="4514"/>
      </w:tblGrid>
      <w:tr>
        <w:trPr>
          <w:trHeight w:val="1" w:hRule="atLeast"/>
          <w:jc w:val="left"/>
        </w:trPr>
        <w:tc>
          <w:tcPr>
            <w:tcW w:w="4546"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14"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ЦНСТПЛФУ</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r>
        <w:trPr>
          <w:trHeight w:val="1" w:hRule="atLeast"/>
          <w:jc w:val="left"/>
        </w:trPr>
        <w:tc>
          <w:tcPr>
            <w:tcW w:w="4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ЦНСТСХ</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Трън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Графиката показва отрицателен естествен прираст, ниска раждаемост, висока смъртност. Демографската характеристика на община Трън следва тенденциите на намаляване броя на населението в трудоспособна възраст и на миграция на младите хора в активна възраст. Основната част от жителите в селата са над 65-годишна възраст и са самотни стари хора. </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предоставените данни за наличните социални услуги на територията на община Трън е видно, че те са обезпечени със служители, необходими за предоставяне на съответните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8228"/>
        </w:numPr>
        <w:tabs>
          <w:tab w:val="left" w:pos="718" w:leader="none"/>
        </w:tabs>
        <w:spacing w:before="0" w:after="0" w:line="240"/>
        <w:ind w:right="0" w:left="718"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АНАЛИЗ НА ПОТРЕБНОСТИТЕ В ОБЛАСТ ПЕРНИК (обобщено)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обобщени за област Перник по общини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общините от област Перник информацията за населението критериите съгласно Наредбата за планиране на социалните услуги е получена от ГРАО, НСИ, ГРАО, ДСП, ДБТ, МОН, РУО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Перник, МВР, МЗ, РЗИ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Перник, РЗОК-Перник, общинска администрация, МКБППМН, Детска педагогическа стая, Отдел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Общински координационен механизъм по деинституционализация“, Инспектор от отдел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Детска педагогическа стая“, НПО, болници, образователни институции и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област Перник е 116 109 жители, от тях 17 558 деца до 18-годишна възраст (15,12%), броят на пълнолетните лица е 98 551 (84,88%). Общия брой на лицата с трайни увреждания е 16 246, от тях деца 535 (3,29%).</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Чупрене, към 31.12.2021 г. е 1801 жители, от тях </w:t>
      </w:r>
      <w:r>
        <w:rPr>
          <w:rFonts w:ascii="Times New Roman" w:hAnsi="Times New Roman" w:cs="Times New Roman" w:eastAsia="Times New Roman"/>
          <w:color w:val="auto"/>
          <w:spacing w:val="0"/>
          <w:position w:val="0"/>
          <w:sz w:val="24"/>
          <w:shd w:fill="FFFF00" w:val="clear"/>
        </w:rPr>
        <w:t xml:space="preserve">258</w:t>
      </w:r>
      <w:r>
        <w:rPr>
          <w:rFonts w:ascii="Times New Roman" w:hAnsi="Times New Roman" w:cs="Times New Roman" w:eastAsia="Times New Roman"/>
          <w:color w:val="auto"/>
          <w:spacing w:val="0"/>
          <w:position w:val="0"/>
          <w:sz w:val="24"/>
          <w:shd w:fill="auto" w:val="clear"/>
        </w:rPr>
        <w:t xml:space="preserve"> деца до 18-годишна възраст (14,3%), броят на пълнолетните лица е </w:t>
      </w:r>
      <w:r>
        <w:rPr>
          <w:rFonts w:ascii="Times New Roman" w:hAnsi="Times New Roman" w:cs="Times New Roman" w:eastAsia="Times New Roman"/>
          <w:color w:val="auto"/>
          <w:spacing w:val="0"/>
          <w:position w:val="0"/>
          <w:sz w:val="24"/>
          <w:shd w:fill="FFFF00" w:val="clear"/>
        </w:rPr>
        <w:t xml:space="preserve">972</w:t>
      </w:r>
      <w:r>
        <w:rPr>
          <w:rFonts w:ascii="Times New Roman" w:hAnsi="Times New Roman" w:cs="Times New Roman" w:eastAsia="Times New Roman"/>
          <w:color w:val="auto"/>
          <w:spacing w:val="0"/>
          <w:position w:val="0"/>
          <w:sz w:val="24"/>
          <w:shd w:fill="auto" w:val="clear"/>
        </w:rPr>
        <w:t xml:space="preserve"> (54,0%). Общия брой на лицата с трайни увреждания е 246, от тях деца 14 (5,7%).</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Чупрене, към 31.12.2021 г. е 1801 жители,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(54,0%). </w:t>
      </w:r>
      <w:r>
        <w:rPr>
          <w:rFonts w:ascii="Times New Roman" w:hAnsi="Times New Roman" w:cs="Times New Roman" w:eastAsia="Times New Roman"/>
          <w:color w:val="auto"/>
          <w:spacing w:val="0"/>
          <w:position w:val="0"/>
          <w:sz w:val="24"/>
          <w:shd w:fill="auto" w:val="clear"/>
        </w:rPr>
        <w:t xml:space="preserve">Общия брой на лицата с трайни увреждания е 246, от тях деца 14 (5,7%).</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Съществуващите социални и интегрирани здравно-социални услуги и брой на техните потребители (общ и по видове услуги и групи потребители) за цялата област по общини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областта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социалните услуги на територията на област Перник е 34 с 1 149 потребители. Броят на социалните услуги за пълнолетни лица е 22, с 864 потребители.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за деца са 12 със 285 потребители.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графиките е видно, че на територията на областта преобладават услугите за дневна грижа (ДЦ, КЦ, ЦСРИ, ЦОП)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14 </w:t>
      </w:r>
      <w:r>
        <w:rPr>
          <w:rFonts w:ascii="Times New Roman" w:hAnsi="Times New Roman" w:cs="Times New Roman" w:eastAsia="Times New Roman"/>
          <w:color w:val="auto"/>
          <w:spacing w:val="0"/>
          <w:position w:val="0"/>
          <w:sz w:val="24"/>
          <w:shd w:fill="auto" w:val="clear"/>
        </w:rPr>
        <w:t xml:space="preserve">услуги за 356 потребители, резидентна грижа (ЦНСТ, ЗЖ) - 14 услуги за 169 потребители, в домашна среда (АП)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5 </w:t>
      </w:r>
      <w:r>
        <w:rPr>
          <w:rFonts w:ascii="Times New Roman" w:hAnsi="Times New Roman" w:cs="Times New Roman" w:eastAsia="Times New Roman"/>
          <w:color w:val="auto"/>
          <w:spacing w:val="0"/>
          <w:position w:val="0"/>
          <w:sz w:val="24"/>
          <w:shd w:fill="auto" w:val="clear"/>
        </w:rPr>
        <w:t xml:space="preserve">услуги за 474 потребители, и услуги в специализирани институции за пълнолетни лица (ДСХ) - 1 услуга за 150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следващата графика са представени социалните услуги по чл. 15 от ЗСУ, които са релевантни на функциониращите, към момента на изготвяне на Анализа от община Перник, социални услуги, финансирани от държавния бюджет, и находящи се на нейна територия. </w:t>
      </w:r>
    </w:p>
    <w:p>
      <w:pPr>
        <w:spacing w:before="0" w:after="0" w:line="240"/>
        <w:ind w:right="0" w:left="0" w:firstLine="709"/>
        <w:jc w:val="both"/>
        <w:rPr>
          <w:rFonts w:ascii="Times New Roman" w:hAnsi="Times New Roman" w:cs="Times New Roman" w:eastAsia="Times New Roman"/>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област Перник</w:t>
      </w:r>
    </w:p>
    <w:p>
      <w:pPr>
        <w:spacing w:before="0" w:after="0" w:line="240"/>
        <w:ind w:right="0" w:left="0" w:firstLine="709"/>
        <w:jc w:val="both"/>
        <w:rPr>
          <w:rFonts w:ascii="Times New Roman" w:hAnsi="Times New Roman" w:cs="Times New Roman" w:eastAsia="Times New Roman"/>
          <w:b/>
          <w:i/>
          <w:color w:val="auto"/>
          <w:spacing w:val="0"/>
          <w:position w:val="0"/>
          <w:sz w:val="24"/>
          <w:shd w:fill="auto" w:val="clear"/>
        </w:rPr>
      </w:pPr>
    </w:p>
    <w:tbl>
      <w:tblPr/>
      <w:tblGrid>
        <w:gridCol w:w="4037"/>
        <w:gridCol w:w="5023"/>
      </w:tblGrid>
      <w:tr>
        <w:trPr>
          <w:trHeight w:val="1" w:hRule="atLeast"/>
          <w:jc w:val="left"/>
        </w:trPr>
        <w:tc>
          <w:tcPr>
            <w:tcW w:w="4037"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709"/>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023"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ЦНСТСХ</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709"/>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ЦНСТПЛФУ</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709"/>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ЦНСТПЛД</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709"/>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Асистентска подкрепа</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709"/>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709"/>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709"/>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Общо</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709"/>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19</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Общо 19 лица са включени в списъците на чакащите за ползване на социални услуги в териториалния обхват на област Перник, като за общините Перник и Земен няма желаещи да ползват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област Перник, различна от  общината по настоящ адрес</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и интегрирани здравно-социални услуги на територията на област Перник, различна от общината по настоящ адрес е 215. Най-голям е техният брой в социалните услуги на територията на общините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Радомир и Перник, следвани от общините Ковачевци, Брезник и Трън.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Земен няма лица от други населени места, желаещи да ползват социални услуги.</w:t>
      </w:r>
    </w:p>
    <w:p>
      <w:pPr>
        <w:spacing w:before="0" w:after="0" w:line="240"/>
        <w:ind w:right="0" w:left="0" w:firstLine="709"/>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област Перник за последните 5 години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Анализа на данните на демографското развитие в област Перник за периода 2021- 2017 г. показва тенденция към намаление на броя на населението във всички общини.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Във всички общини се отчита ниска раждаемост с тенденция към намаление, висока смъртност и отрицателен естествен прираст. Прогресивно намаляване на относителния дял на лицата в трудоспособна възраст. Устойчива тенденция към миграционни процеси и обезлюдяване. Засилва се тенденцията за увеличаване на градското население, за сметка на намаляване на населението по селата, като голяма част от жителите в селата в разглежданата област са над 65-годишна възраст и са самотни стари хора.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предоставените данни за наличните социални услуги на територията на областта е видно, че те са обезпечени със служители, необходими за предоставяне на съответните услуги. В община Ковачевци е свободна 1 щ. бр. за длъжността санитар и се планира трансформиране на 0,5 щ. бр. трудотерапевт в длъжността психолог.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някои социални услуги е необходимо увеличаване на щатните бройки за достигане до минималните изисквания в стандартите за качество по НКСУ. </w:t>
      </w:r>
    </w:p>
    <w:p>
      <w:pPr>
        <w:tabs>
          <w:tab w:val="left" w:pos="709"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бъдеще време ще има остра нужда от кадри с медицинско образование в общините Перник, Брезник и Земен, т. к. в момента всички медицински сестри, работещи в резидентните услуги са в пенсионна възраст, някои от тях в напреднала.</w:t>
      </w:r>
    </w:p>
    <w:p>
      <w:pPr>
        <w:tabs>
          <w:tab w:val="left" w:pos="1883"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Важна предпоставка за ефективност на социалните услуги е наличието на квалифициран и мотивиран персонал. Развитието и обучението на човешките ресурси в тази област е важна предпоставка за качествени услуги, които да съдействат за повишаване и качеството на живот на отделните индивиди, семейства и групи.</w:t>
      </w:r>
    </w:p>
    <w:p>
      <w:pPr>
        <w:tabs>
          <w:tab w:val="left" w:pos="1883"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Перник</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Важна цел на област Перник е осигуряване качество на живот, което ще гарантира благосъстоянието и недопускането на социално изключване на всяко дете и лице, чрез предоставяне на индивидуализирана грижа и подкрепа, фокусирана върху постижими резултати. Работи по посока изпълнение на мерките за осигуряване на социални и интегрирани услуги за ранна интервенция, превенция в семейна среда и среда от семеен тип.</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Въз основа на направения анализ на състоянието на социалните услуги на територията на областта и очерталите се тенденции, могат да се направят следните изводи: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има голям брой социални услуги за резидентна грижа, включително се предоставят интегрирани здравно-социални услуги за деца, но броят им не е недостатъчен за задоволяване на потребностите на жителите на областта;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Недостатъчен е броя на услугите за дневна и почасова грижа и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Необходимо е развитие на услугите в посока увеличаване на техния капацитет или създаване на нови такива.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Анализа на областно ниво е видно, че в бъдеще общините няма да могат да задоволят потребностите на жителите от социални услуги поради недостатъчна материална база, липса на квалифициран персонал и др.</w:t>
      </w:r>
    </w:p>
    <w:p>
      <w:pPr>
        <w:spacing w:before="0" w:after="0" w:line="240"/>
        <w:ind w:right="0" w:left="709"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8279"/>
        </w:numPr>
        <w:tabs>
          <w:tab w:val="left" w:pos="718" w:leader="none"/>
        </w:tabs>
        <w:spacing w:before="0" w:after="0" w:line="240"/>
        <w:ind w:right="0" w:left="718" w:hanging="576"/>
        <w:jc w:val="both"/>
        <w:rPr>
          <w:rFonts w:ascii="Times New Roman" w:hAnsi="Times New Roman" w:cs="Times New Roman" w:eastAsia="Times New Roman"/>
          <w:b/>
          <w:color w:val="003366"/>
          <w:spacing w:val="0"/>
          <w:position w:val="0"/>
          <w:sz w:val="28"/>
          <w:shd w:fill="auto" w:val="clear"/>
        </w:rPr>
      </w:pPr>
      <w:r>
        <w:rPr>
          <w:rFonts w:ascii="Times New Roman" w:hAnsi="Times New Roman" w:cs="Times New Roman" w:eastAsia="Times New Roman"/>
          <w:b/>
          <w:color w:val="003366"/>
          <w:spacing w:val="0"/>
          <w:position w:val="0"/>
          <w:sz w:val="28"/>
          <w:shd w:fill="auto" w:val="clear"/>
        </w:rPr>
        <w:t xml:space="preserve">ОБЛАСТ КЮСТЕНДИЛ</w:t>
      </w:r>
    </w:p>
    <w:p>
      <w:pPr>
        <w:keepNext w:val="true"/>
        <w:numPr>
          <w:ilvl w:val="0"/>
          <w:numId w:val="8279"/>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БОБОВ ДОЛ</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Бобов дол информацията за населението по настоящ адрес е получена от информационна система ГРАО, НСИ, ТСБ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Югозапад гр. Кюстендил,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Бобов дол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Дупница, ЦНСТПЛУИ, ЦСРИ, ЦНСТПЛПР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Бобов дол, към 31.12.2021 г. е 7704 жители, от тях 965 деца до 18-годишна възраст. Общият брой на лицата с трайни увреждания е 807, от тях деца 30.</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Бобов дол са разкрити 5 социални услуги, от тях 4 се предоставят в гр. Бобов дол и 1 в с. Мламолово. Общият капацитет на социалните услуги е за 96 потребители, в т.ч. 31 асистентска подкрепа.</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tbl>
      <w:tblPr/>
      <w:tblGrid>
        <w:gridCol w:w="2001"/>
        <w:gridCol w:w="2083"/>
        <w:gridCol w:w="2044"/>
        <w:gridCol w:w="1466"/>
        <w:gridCol w:w="1466"/>
      </w:tblGrid>
      <w:tr>
        <w:trPr>
          <w:trHeight w:val="1" w:hRule="atLeast"/>
          <w:jc w:val="left"/>
        </w:trPr>
        <w:tc>
          <w:tcPr>
            <w:tcW w:w="2001"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708"/>
              <w:jc w:val="both"/>
              <w:rPr>
                <w:rFonts w:ascii="Calibri" w:hAnsi="Calibri" w:cs="Calibri" w:eastAsia="Calibri"/>
                <w:color w:val="auto"/>
                <w:spacing w:val="0"/>
                <w:position w:val="0"/>
                <w:sz w:val="22"/>
                <w:shd w:fill="auto" w:val="clear"/>
              </w:rPr>
            </w:pPr>
          </w:p>
        </w:tc>
        <w:tc>
          <w:tcPr>
            <w:tcW w:w="2083"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ЦНСТПЛУИ</w:t>
            </w:r>
          </w:p>
        </w:tc>
        <w:tc>
          <w:tcPr>
            <w:tcW w:w="2044"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ЦНСТПЛПР</w:t>
            </w:r>
          </w:p>
        </w:tc>
        <w:tc>
          <w:tcPr>
            <w:tcW w:w="1466"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ЦСРИЛ</w:t>
            </w:r>
          </w:p>
        </w:tc>
        <w:tc>
          <w:tcPr>
            <w:tcW w:w="1466"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left"/>
        </w:trPr>
        <w:tc>
          <w:tcPr>
            <w:tcW w:w="200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08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204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6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6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00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08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204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146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46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31</w:t>
            </w:r>
          </w:p>
        </w:tc>
      </w:tr>
    </w:tbl>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Бобов дол</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Бобов дол е 20. По услуги: </w:t>
      </w:r>
    </w:p>
    <w:tbl>
      <w:tblPr/>
      <w:tblGrid>
        <w:gridCol w:w="4037"/>
        <w:gridCol w:w="5023"/>
      </w:tblGrid>
      <w:tr>
        <w:trPr>
          <w:trHeight w:val="1" w:hRule="atLeast"/>
          <w:jc w:val="left"/>
        </w:trPr>
        <w:tc>
          <w:tcPr>
            <w:tcW w:w="4037"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023"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w:t>
            </w:r>
          </w:p>
        </w:tc>
      </w:tr>
    </w:tbl>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Бобов дол,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Във функциониращите на територията на община Бобов дол социални услуги и интегрирани здравно-социални услуги през 2022 година 35 са потребителите от други общини, както следва: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831"/>
        <w:gridCol w:w="5229"/>
      </w:tblGrid>
      <w:tr>
        <w:trPr>
          <w:trHeight w:val="1" w:hRule="atLeast"/>
          <w:jc w:val="left"/>
        </w:trPr>
        <w:tc>
          <w:tcPr>
            <w:tcW w:w="3831"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5229"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Бобов дол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Графиката показва, намаление на общия брой на населението с тенденция към застаряване, ниска раждаемост, висока смъртност и отрицателен естествен прираст. Въпреки механичния прираст почти се запазва, съществува реална опасност да се засили тенденцията за напускане на жители от населените места на общината и от гр. Бобов дол. </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на територията на община Бобов дол разполагат с достатъчен и квалифициран персонал. Услугите функционират оптимално съобразно определените минимални изисквания за стандартите за качество на социалните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създаване на нови социални услуги община Бобов дол ще изготви длъжностно щатно разписание, съобразено с определения брой потребители и изискванията на Наредбата за качество на социалните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8319"/>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БОБОШЕВО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Бобошево информацията за населението по настоящ адрес е получена от общинска администрация гр. Бобошево, ГРАО, НСИ,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Дупница,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Дупница, учебни заведения.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Бобошево, към 31.12.2021 г. е 2817 жители, от тях 215 деца до 18-годишна възраст. Общият брой на лицата с трайни увреждания е 346, от тях деца 4.</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Бобошево е разкрита една социална услуга, финансирана от държавния бюджет, с брой потребители - 15.</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tbl>
      <w:tblPr/>
      <w:tblGrid>
        <w:gridCol w:w="5010"/>
        <w:gridCol w:w="4050"/>
      </w:tblGrid>
      <w:tr>
        <w:trPr>
          <w:trHeight w:val="1" w:hRule="atLeast"/>
          <w:jc w:val="left"/>
        </w:trPr>
        <w:tc>
          <w:tcPr>
            <w:tcW w:w="5010"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708"/>
              <w:jc w:val="both"/>
              <w:rPr>
                <w:rFonts w:ascii="Calibri" w:hAnsi="Calibri" w:cs="Calibri" w:eastAsia="Calibri"/>
                <w:color w:val="auto"/>
                <w:spacing w:val="0"/>
                <w:position w:val="0"/>
                <w:sz w:val="22"/>
                <w:shd w:fill="auto" w:val="clear"/>
              </w:rPr>
            </w:pPr>
          </w:p>
        </w:tc>
        <w:tc>
          <w:tcPr>
            <w:tcW w:w="4050"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left"/>
        </w:trPr>
        <w:tc>
          <w:tcPr>
            <w:tcW w:w="501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40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501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40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bl>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Бобошево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14 </w:t>
      </w:r>
      <w:r>
        <w:rPr>
          <w:rFonts w:ascii="Times New Roman" w:hAnsi="Times New Roman" w:cs="Times New Roman" w:eastAsia="Times New Roman"/>
          <w:color w:val="auto"/>
          <w:spacing w:val="0"/>
          <w:position w:val="0"/>
          <w:sz w:val="24"/>
          <w:shd w:fill="auto" w:val="clear"/>
        </w:rPr>
        <w:t xml:space="preserve">лица желаят да ползват социалната услуга Асистентска подкрепа на територията на община Бобошево (Приложение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желаещи).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Бобошево,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потребители от други общини, които ползват социални и интегрирани здравно-социални услуги на територията на община Бобошево.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Бобошево за последните 5 години</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резултат на неблагоприятните демографски процеси (отрицателно естествено възпроизводство и миграции ) се наблюдава намаляване в броя на населението. Забелязва се постоянен отрицателен естествен прираст, което се дължи, както на ниската раждаемост, така и на високата смъртност. В демографски план застаряването на населението е необратим процес.</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 са предоставени данни за необходимост от служители.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8346"/>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ДУПНИЦА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Дупница информацията за населението по настоящ адрес е получена от РЗИ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Кюстендил, ГРАО, отдели в общинската администрация, свързани със социални, образователни, хуманитарни, етнически и демографски дейности и отдел ТСУ,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Дупница,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Дупница, доставчици на социални услуги в община Дупница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ЦНСТ, ДЦПЛУ, ДЦДУ, ЦСРИД, ЦОП, АП.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Дупница, към 31.12.2021 г. е 48244 жители, от тях 7549 деца до 18-годишна възраст. Общият брой на лицата с трайни увреждания е 4915, от тях деца 165.</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Дупница са разкрити 7 социални услуги, които се предоставят на територията на гр. Дупница. Общият капацитет на социалните услуги е 272 потребители, в т.ч. 138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588"/>
        <w:gridCol w:w="1164"/>
        <w:gridCol w:w="1190"/>
        <w:gridCol w:w="1179"/>
        <w:gridCol w:w="1164"/>
        <w:gridCol w:w="1491"/>
        <w:gridCol w:w="1284"/>
      </w:tblGrid>
      <w:tr>
        <w:trPr>
          <w:trHeight w:val="1" w:hRule="atLeast"/>
          <w:jc w:val="left"/>
        </w:trPr>
        <w:tc>
          <w:tcPr>
            <w:tcW w:w="1588"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708"/>
              <w:jc w:val="both"/>
              <w:rPr>
                <w:rFonts w:ascii="Calibri" w:hAnsi="Calibri" w:cs="Calibri" w:eastAsia="Calibri"/>
                <w:color w:val="auto"/>
                <w:spacing w:val="0"/>
                <w:position w:val="0"/>
                <w:sz w:val="22"/>
                <w:shd w:fill="auto" w:val="clear"/>
              </w:rPr>
            </w:pPr>
          </w:p>
        </w:tc>
        <w:tc>
          <w:tcPr>
            <w:tcW w:w="1164"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ЦСРИД</w:t>
            </w:r>
          </w:p>
        </w:tc>
        <w:tc>
          <w:tcPr>
            <w:tcW w:w="1190"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ДЦДМУ</w:t>
            </w:r>
          </w:p>
        </w:tc>
        <w:tc>
          <w:tcPr>
            <w:tcW w:w="1179"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ДЦПЛУ</w:t>
            </w:r>
          </w:p>
        </w:tc>
        <w:tc>
          <w:tcPr>
            <w:tcW w:w="1164"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1491"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ЦНСТДМУ</w:t>
            </w:r>
          </w:p>
        </w:tc>
        <w:tc>
          <w:tcPr>
            <w:tcW w:w="1284"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left"/>
        </w:trPr>
        <w:tc>
          <w:tcPr>
            <w:tcW w:w="15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16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708"/>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4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708"/>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5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16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708"/>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c>
          <w:tcPr>
            <w:tcW w:w="11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1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1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c>
          <w:tcPr>
            <w:tcW w:w="14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12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708"/>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138</w:t>
            </w:r>
          </w:p>
        </w:tc>
      </w:tr>
    </w:tbl>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 социални услуги на територията на община Дупница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желаещи да ползват социални услуги на територията на община Дупница.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Дупница,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Във функциониращите на територията на община Дупница социални услуги и интегрирани здравно-социални услуги през 2022 година 43 са потребителите от други общини, както следва: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831"/>
        <w:gridCol w:w="5229"/>
      </w:tblGrid>
      <w:tr>
        <w:trPr>
          <w:trHeight w:val="1" w:hRule="atLeast"/>
          <w:jc w:val="left"/>
        </w:trPr>
        <w:tc>
          <w:tcPr>
            <w:tcW w:w="3831"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5229"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ДЦДУ</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ЦСРИД</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r>
    </w:tbl>
    <w:p>
      <w:pPr>
        <w:spacing w:before="0" w:after="0" w:line="240"/>
        <w:ind w:right="0" w:left="0" w:firstLine="708"/>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Дупница за последните 5 години</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изготвения анализ от община Дупница не са предоставени данни за броя на изселените лица през посочените 5 години, както и данни за изчисления механичен прираст.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Демографската ситуация в община Дупница е със следните характеристики: ниска раждаемост, висока смъртност и отрицателен естествен прираст. Отрицателният естествен прираст е резултат от бързото намаляване на раждаемостта и поддържането на високо равнище на смъртност. Той в най-голяма степен пряко се отразява върху намаляването на броя на населението в община Дупница. Негативните тенденции в заетостта, икономическата активност и безработицата в община Дупница пораждат и редица проблеми - спад в жизненото равнище, социална нестабилност, намаляване на жизнения потенциал на територията, повишаване на миграционните движения и др. Високото образователно равнище в община Дупница е условие за повишаване на заетостта в общината и разкриване на работни места изискващи хора с висока квалификация, получаването на по-високи доходи и ограничаване на бедността, както и за постигане на по-добро качество и стандарт на живота на населението. Колкото по-висока е степента на образование, толкова по-малко хората са застрашени от бедност и риск от социално изключване. Върху броя на населението, освен естествения, важна роля играе и механичния прираст. Той се формира от броя на заселените и изселените лица. След интензивната миграция на населението, свързана и с емиграция на част от него, през последните няколко години тези процеси не са с висока интензивност.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делегирани от държавата дейности, предоставящи услуги на територията на община Дупница са обезпечени с необходимия по численост, опит и квалификация персонал, необходим за качественото им предоставяне. С оглед осъществяване на съответствие с изискванията на Наредбата за качеството на социалните услуги се установява необходимост от увеличаване на персонала.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8381"/>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КОЧЕРИНОВО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за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Кочериново информацията за населението по настоящ адрес е получена от информационна система ГРАО,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Кочериново, НСИ, общинска администрация, СУ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Христо Ботев“ и ДСХ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Св. Иван Рилски“.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Кочериново, към 31.12.2021 г. е 4260 жители, от тях 550 деца до 18-годишна възраст. Общият брой на лицата с трайни увреждания е 494, от тях деца 12.</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Кочеринова са разкрити 2 социални услуги, които се предоставят в гр. Кочериново. Общият капацитет на социалните услуги е за 81 потребители, в т.ч. 21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339"/>
        <w:gridCol w:w="3021"/>
        <w:gridCol w:w="2700"/>
      </w:tblGrid>
      <w:tr>
        <w:trPr>
          <w:trHeight w:val="1" w:hRule="atLeast"/>
          <w:jc w:val="left"/>
        </w:trPr>
        <w:tc>
          <w:tcPr>
            <w:tcW w:w="3339"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708"/>
              <w:jc w:val="both"/>
              <w:rPr>
                <w:rFonts w:ascii="Calibri" w:hAnsi="Calibri" w:cs="Calibri" w:eastAsia="Calibri"/>
                <w:color w:val="auto"/>
                <w:spacing w:val="0"/>
                <w:position w:val="0"/>
                <w:sz w:val="22"/>
                <w:shd w:fill="auto" w:val="clear"/>
              </w:rPr>
            </w:pPr>
          </w:p>
        </w:tc>
        <w:tc>
          <w:tcPr>
            <w:tcW w:w="3021"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2700"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left"/>
        </w:trPr>
        <w:tc>
          <w:tcPr>
            <w:tcW w:w="33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30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7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3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30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60</w:t>
            </w:r>
          </w:p>
        </w:tc>
        <w:tc>
          <w:tcPr>
            <w:tcW w:w="27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21</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Кочериново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Кочериново е 8 лица. По услуги:</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bl>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Кочериново,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Кочериново, от други общини е 43.</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831"/>
        <w:gridCol w:w="5229"/>
      </w:tblGrid>
      <w:tr>
        <w:trPr>
          <w:trHeight w:val="1" w:hRule="atLeast"/>
          <w:jc w:val="left"/>
        </w:trPr>
        <w:tc>
          <w:tcPr>
            <w:tcW w:w="3831"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5229"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43</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Кочериново за последните 5 години</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Възрастовата структура на населението на общината показва тенденция на застаряване. Налице е и отрицателен естествен прираст на населението.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възрастовата структура се налага извода, че населението застарява, лицата в подтрудоспособна възраст намаляват, намалява делът на лицата в трудоспособна възраст. Естествения прираст и механичен прираст са отрицателни, което е трайна тенденция както в нашата община така и за страната.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момента услугата в Дом за стари хора - гр. Кочериново се извършва съгласно утвърдено щатно разписание, като всички утвърдени длъжности са заети. Няма не заети длъжности.</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keepNext w:val="true"/>
        <w:numPr>
          <w:ilvl w:val="0"/>
          <w:numId w:val="8418"/>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КЮСТЕНДИЛ</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Кюстендил информацията за населението по настоящ адрес е получена от НСИ, РЗИ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Кюстендил, РУО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Кюстендил,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Кюстендил,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Кюстендил, ГРАО, социални услуги, МЛП и др.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Кюстендил, към 31.12.2021 г. е 78845 жители, от тях 12136 деца до 18-годишна възраст. Общият брой на лицата с трайни увреждания е 6823, от тях деца 212.</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Кюстендил са разкрити 17 социални услуги, от които 14 се предоставят в гр. Кюстендил и 3 в с. Вратца. Общият капацитет на социалните услуги е 562 потребители, в т.ч. 219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751"/>
        <w:gridCol w:w="1819"/>
        <w:gridCol w:w="1643"/>
        <w:gridCol w:w="1283"/>
        <w:gridCol w:w="1283"/>
        <w:gridCol w:w="1281"/>
      </w:tblGrid>
      <w:tr>
        <w:trPr>
          <w:trHeight w:val="1" w:hRule="atLeast"/>
          <w:jc w:val="left"/>
        </w:trPr>
        <w:tc>
          <w:tcPr>
            <w:tcW w:w="1751"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708"/>
              <w:jc w:val="both"/>
              <w:rPr>
                <w:rFonts w:ascii="Calibri" w:hAnsi="Calibri" w:cs="Calibri" w:eastAsia="Calibri"/>
                <w:color w:val="auto"/>
                <w:spacing w:val="0"/>
                <w:position w:val="0"/>
                <w:sz w:val="22"/>
                <w:shd w:fill="auto" w:val="clear"/>
              </w:rPr>
            </w:pPr>
          </w:p>
        </w:tc>
        <w:tc>
          <w:tcPr>
            <w:tcW w:w="1819"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ЦНСТПЛУИ</w:t>
            </w:r>
          </w:p>
        </w:tc>
        <w:tc>
          <w:tcPr>
            <w:tcW w:w="1643"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ЦНСТДМУ</w:t>
            </w:r>
          </w:p>
        </w:tc>
        <w:tc>
          <w:tcPr>
            <w:tcW w:w="1283"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ПЖЛ</w:t>
            </w:r>
          </w:p>
        </w:tc>
        <w:tc>
          <w:tcPr>
            <w:tcW w:w="1283"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ЦСРИД</w:t>
            </w:r>
          </w:p>
        </w:tc>
        <w:tc>
          <w:tcPr>
            <w:tcW w:w="1281"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ЦСРИЛ</w:t>
            </w:r>
          </w:p>
        </w:tc>
      </w:tr>
      <w:tr>
        <w:trPr>
          <w:trHeight w:val="1" w:hRule="atLeast"/>
          <w:jc w:val="left"/>
        </w:trPr>
        <w:tc>
          <w:tcPr>
            <w:tcW w:w="17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8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16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2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7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8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67</w:t>
            </w:r>
          </w:p>
        </w:tc>
        <w:tc>
          <w:tcPr>
            <w:tcW w:w="16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c>
          <w:tcPr>
            <w:tcW w:w="12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c>
          <w:tcPr>
            <w:tcW w:w="12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c>
          <w:tcPr>
            <w:tcW w:w="12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r>
    </w:tbl>
    <w:p>
      <w:pPr>
        <w:spacing w:before="0" w:after="0" w:line="240"/>
        <w:ind w:right="0" w:left="0" w:firstLine="708"/>
        <w:jc w:val="both"/>
        <w:rPr>
          <w:rFonts w:ascii="Times New Roman" w:hAnsi="Times New Roman" w:cs="Times New Roman" w:eastAsia="Times New Roman"/>
          <w:i/>
          <w:color w:val="auto"/>
          <w:spacing w:val="0"/>
          <w:position w:val="0"/>
          <w:sz w:val="24"/>
          <w:shd w:fill="auto" w:val="clear"/>
        </w:rPr>
      </w:pPr>
    </w:p>
    <w:tbl>
      <w:tblPr/>
      <w:tblGrid>
        <w:gridCol w:w="1793"/>
        <w:gridCol w:w="2084"/>
        <w:gridCol w:w="1678"/>
        <w:gridCol w:w="2055"/>
        <w:gridCol w:w="1450"/>
      </w:tblGrid>
      <w:tr>
        <w:trPr>
          <w:trHeight w:val="1" w:hRule="atLeast"/>
          <w:jc w:val="left"/>
        </w:trPr>
        <w:tc>
          <w:tcPr>
            <w:tcW w:w="1793"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708"/>
              <w:jc w:val="both"/>
              <w:rPr>
                <w:rFonts w:ascii="Calibri" w:hAnsi="Calibri" w:cs="Calibri" w:eastAsia="Calibri"/>
                <w:color w:val="auto"/>
                <w:spacing w:val="0"/>
                <w:position w:val="0"/>
                <w:sz w:val="22"/>
                <w:shd w:fill="auto" w:val="clear"/>
              </w:rPr>
            </w:pPr>
          </w:p>
        </w:tc>
        <w:tc>
          <w:tcPr>
            <w:tcW w:w="2084"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ДЦДМУ</w:t>
            </w:r>
          </w:p>
        </w:tc>
        <w:tc>
          <w:tcPr>
            <w:tcW w:w="1678"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2055"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ДЦПЛУ</w:t>
            </w:r>
          </w:p>
        </w:tc>
        <w:tc>
          <w:tcPr>
            <w:tcW w:w="1450"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left"/>
        </w:trPr>
        <w:tc>
          <w:tcPr>
            <w:tcW w:w="179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205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4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79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c>
          <w:tcPr>
            <w:tcW w:w="1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90</w:t>
            </w:r>
          </w:p>
        </w:tc>
        <w:tc>
          <w:tcPr>
            <w:tcW w:w="205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65</w:t>
            </w:r>
          </w:p>
        </w:tc>
        <w:tc>
          <w:tcPr>
            <w:tcW w:w="14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219</w:t>
            </w:r>
          </w:p>
        </w:tc>
      </w:tr>
    </w:tbl>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Кюстендил</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Кюстендил е 61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ЦНСТПЛУИ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708"/>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ПЖЛ</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708"/>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ЗЖЛПР</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708"/>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Асистентска подкрепа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708"/>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43</w:t>
            </w:r>
          </w:p>
        </w:tc>
      </w:tr>
    </w:tbl>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Кюстендил,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Кюстендил няма лица от други населени места, ползващи социалните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Кюстендил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Наблюдава се неблагоприятна тенденция на обезлюдяване е характерна за цялата страна, което се очертава като сериозен проблем за населеността на територията. Намаляващия брой на населението на общината при непроменената площ на територията ѝ дава отражение и върху гъстотата на населението. Този показател е един обективен критерий за степента на населеността на територията. Обективно, община Кюстендил се очертава като една от общините с ниска гъстота на населението (за България тя е 65.3 д./км2 ), което се отразява негативно и върху възможностите за ефективно използване на разполагаемите поземлени ресурси. Броят на населението и промените в него са резултат от комбинираното влияние на естественото и на механичното му движение. Естествения прираст се характеризира със състоянието на раждаемостта и на смъртността, от които се формира и естествения прираст на населението.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Раждаемостта в община Кюстендил бележи тенденция на траен спад. Причините за това са от демографско, икономическо и психологическо естество. Като резултат от силно влошената възрастова структура на населението, намалелият фертилен контингент и редица други причини, раждаемостта е в ниски граници, което се отразява и върху естественото възпроизводство на населението. По-сериозен проблем, свързан с естественото движение на населението в община Кюстендил е високата смъртност, което е и основната причина за високия отрицателен естествен прираст на населението. Ниската раждаемост и високата смъртност на населението на община Кюстендил са причина и за отрицателния естествен прираст на населението.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Демографската ситуация в община Кюстендил е със следните характеристики: ниска раждаемост, висока смъртност и отрицателен естествен прираст. Отрицателният естествен прираст е резултат от бързото намаляване на раждаемостта и поддържането на високо равнище на смъртност. Той в най-голяма степен пряко се отразява върху намаляването на броя на населението в община Кюстендил. Негативните тенденции в заетостта, икономическата активност и безработицата в община Кюстендил пораждат и редица проблеми - спад в жизненото равнище, социална нестабилност, намаляване на жизнения потенциал на територията, повишаване на миграционните движения и др. Високото образователно равнище в община Кюстендил е условие за повишаване на заетостта в общината и разкриване на работни места изискващи хора с висока квалификация, получаването на по-високи доходи и ограничаване на бедността, както и за постигане на по-добро качество и стандарт на живота на населението. Колкото по-висока е степента на образование, толкова по-малко хората са застрашени от бедност и риск от бедност. </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 извършване на дейността по предоставяне на социални и интегрирани здравно-социални услуги на 1071 потребители на територията на община Кюстендил са необходими 512 служители, притежаващи необходимата квалификация и опит.</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keepNext w:val="true"/>
        <w:numPr>
          <w:ilvl w:val="0"/>
          <w:numId w:val="8470"/>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НЕВЕСТИНО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Невестино информацията за населението по настоящ адрес е получена от ДСП, РЗИ, ДБТ, НСИ и представители от общинската администрация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служба ГРАО.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Невестино, към 31.12.2021 г. е 1824 жители, от тях 105 деца до 18-годишна възраст. Общият брой на лицата с трайни увреждания е 350, от тях деца 6.</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Невестино е разкрита 1 социална услуга с брой потребители 20.</w:t>
      </w:r>
    </w:p>
    <w:tbl>
      <w:tblPr/>
      <w:tblGrid>
        <w:gridCol w:w="5010"/>
        <w:gridCol w:w="4050"/>
      </w:tblGrid>
      <w:tr>
        <w:trPr>
          <w:trHeight w:val="1" w:hRule="atLeast"/>
          <w:jc w:val="left"/>
        </w:trPr>
        <w:tc>
          <w:tcPr>
            <w:tcW w:w="5010"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708"/>
              <w:jc w:val="both"/>
              <w:rPr>
                <w:rFonts w:ascii="Calibri" w:hAnsi="Calibri" w:cs="Calibri" w:eastAsia="Calibri"/>
                <w:color w:val="auto"/>
                <w:spacing w:val="0"/>
                <w:position w:val="0"/>
                <w:sz w:val="22"/>
                <w:shd w:fill="auto" w:val="clear"/>
              </w:rPr>
            </w:pPr>
          </w:p>
        </w:tc>
        <w:tc>
          <w:tcPr>
            <w:tcW w:w="4050"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left"/>
        </w:trPr>
        <w:tc>
          <w:tcPr>
            <w:tcW w:w="501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40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501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40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Невестино</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Невестино,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Невестино за последните 5 години</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Анализът на динамиката на населението в общината по населени места показва изразена отрицателна тенденция в намаляване на населението. Делът на населението в надтрудоспособна възраст е значително над средния за областта. Подобна негативна тенденция е показател за застаряване на населението. Характерно за демографските процеси в общината, е че смъртността се характеризира със значително по-високи стойности от раждаемостта. Наблюдава се вътрешна миграция, както и ежедневна миграция. Това механично движение е породено от по-добрите възможности за трудова реализация и по-високите доходи в тези места. То не се отразява трайно върху броя на населението в общината, като близостта до големите областни центрове има и благоприятен ефект върху запазването на една част от постоянно живеещото на територията на общината население, като му осигурява доходи без необходимост от промяна на местоживеенето.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община Невестино няма необходимост от служители.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8489"/>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РИЛА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са използвани официални източници на информация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данни на Общинска администрация гр. Рила, База данни ЕСГРАОН, НЕИСПУО,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Дупница, ДСП - гр. Бобошево, учебни заведения и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Рила, към 31.12.2021 г. е 2873 жители, от тях 449 деца до 18-годишна възраст. Общият брой на лицата с трайни увреждания е 434, от тях деца 8.</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tabs>
          <w:tab w:val="left" w:pos="720" w:leader="none"/>
        </w:tabs>
        <w:spacing w:before="0" w:after="0" w:line="240"/>
        <w:ind w:right="0" w:left="0" w:firstLine="708"/>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АНАЛИЗ НА ПОТРЕБНОСТИТЕ В ОБЛАСТ ВИДИН (обобщено)</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Рила са разкрити 5 социални услуги, и всички се предоставят в гр. Рила. Общият капацитет на социалните услуги е за 66 потребители, в т.ч. 11 асистентска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674"/>
        <w:gridCol w:w="1709"/>
        <w:gridCol w:w="1886"/>
        <w:gridCol w:w="2428"/>
        <w:gridCol w:w="1363"/>
      </w:tblGrid>
      <w:tr>
        <w:trPr>
          <w:trHeight w:val="1" w:hRule="atLeast"/>
          <w:jc w:val="left"/>
        </w:trPr>
        <w:tc>
          <w:tcPr>
            <w:tcW w:w="1674"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708"/>
              <w:jc w:val="center"/>
              <w:rPr>
                <w:rFonts w:ascii="Calibri" w:hAnsi="Calibri" w:cs="Calibri" w:eastAsia="Calibri"/>
                <w:color w:val="auto"/>
                <w:spacing w:val="0"/>
                <w:position w:val="0"/>
                <w:sz w:val="22"/>
                <w:shd w:fill="auto" w:val="clear"/>
              </w:rPr>
            </w:pPr>
          </w:p>
        </w:tc>
        <w:tc>
          <w:tcPr>
            <w:tcW w:w="1709"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ДЦСХ</w:t>
            </w:r>
          </w:p>
        </w:tc>
        <w:tc>
          <w:tcPr>
            <w:tcW w:w="1886"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ЦСРИЛ</w:t>
            </w:r>
          </w:p>
        </w:tc>
        <w:tc>
          <w:tcPr>
            <w:tcW w:w="2428"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ЦНСТПЛПР</w:t>
            </w:r>
          </w:p>
        </w:tc>
        <w:tc>
          <w:tcPr>
            <w:tcW w:w="1363"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left"/>
        </w:trPr>
        <w:tc>
          <w:tcPr>
            <w:tcW w:w="167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7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88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4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3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67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7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88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24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c>
          <w:tcPr>
            <w:tcW w:w="13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r>
    </w:tbl>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Рила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Кула е 17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ДЦСХ</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ЦНСТПЛПР</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310</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Рила,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Рила, от други общини е 42.</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831"/>
        <w:gridCol w:w="5229"/>
      </w:tblGrid>
      <w:tr>
        <w:trPr>
          <w:trHeight w:val="1" w:hRule="atLeast"/>
          <w:jc w:val="left"/>
        </w:trPr>
        <w:tc>
          <w:tcPr>
            <w:tcW w:w="3831"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5229"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w:t>
            </w:r>
          </w:p>
        </w:tc>
      </w:tr>
      <w:tr>
        <w:trPr>
          <w:trHeight w:val="1" w:hRule="atLeast"/>
          <w:jc w:val="left"/>
        </w:trPr>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ЦСРИЛ</w:t>
            </w:r>
          </w:p>
        </w:tc>
        <w:tc>
          <w:tcPr>
            <w:tcW w:w="5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r>
    </w:tbl>
    <w:p>
      <w:pPr>
        <w:spacing w:before="0" w:after="0" w:line="240"/>
        <w:ind w:right="0" w:left="0" w:firstLine="708"/>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Рила за последните 5 години</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Тенденцията за обезлюдяване на селските райони за цялата страна, важи и за община Рила. Забелязва се трайна тенденция към намаляване на населението. Работната сила е в тясна зависимост от демографските фактори. Броят на лицата, които навлизат в трудоспособна възраст, зависи от равнището на раждаемостта, смъртността и миграцията сред младите хора. Наред с това, изходящият поток от икономически активното население зависи и от икономическите и социални фактори.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резултат на установилите се през последните няколко години неблагоприятни тенденции в развитието на демографските процеси, броят на населението в Общината продължава да намалява.</w:t>
      </w:r>
    </w:p>
    <w:p>
      <w:pPr>
        <w:spacing w:before="0" w:after="0" w:line="240"/>
        <w:ind w:right="0" w:left="0" w:firstLine="708"/>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на територията на община Рила разполагат с достатъчен и квалифициран персонал. Има една незаета щатна длъжност. Услугите функционират оптимално съобразно определените минимални изисквания за стандартите за качество на социалните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8536"/>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САПАРЕВА БАНЯ</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са използвани официални източници на информация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данни на общинска администрация Сапарева баня, ЕСГРАОН,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Дупница,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Дупница, НСИ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Кюстендил, РЗИ, Съвета по въпросите за социалните услуги към общината и др.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Сапарева баня, към 31.12.2021 г. е 7114 жители, от тях 1045 деца до 18-годишна възраст. Общият брой на лицата с трайни увреждания е 809, от тях деца 18.</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Сапарева баня се предоставя само Асистентска подкрепа.</w:t>
      </w:r>
    </w:p>
    <w:tbl>
      <w:tblPr/>
      <w:tblGrid>
        <w:gridCol w:w="4159"/>
        <w:gridCol w:w="4901"/>
      </w:tblGrid>
      <w:tr>
        <w:trPr>
          <w:trHeight w:val="1" w:hRule="atLeast"/>
          <w:jc w:val="left"/>
        </w:trPr>
        <w:tc>
          <w:tcPr>
            <w:tcW w:w="4159"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708"/>
              <w:jc w:val="both"/>
              <w:rPr>
                <w:rFonts w:ascii="Calibri" w:hAnsi="Calibri" w:cs="Calibri" w:eastAsia="Calibri"/>
                <w:color w:val="auto"/>
                <w:spacing w:val="0"/>
                <w:position w:val="0"/>
                <w:sz w:val="22"/>
                <w:shd w:fill="auto" w:val="clear"/>
              </w:rPr>
            </w:pPr>
          </w:p>
        </w:tc>
        <w:tc>
          <w:tcPr>
            <w:tcW w:w="4901"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708"/>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left"/>
        </w:trPr>
        <w:tc>
          <w:tcPr>
            <w:tcW w:w="415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49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15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49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Сапарева баня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предоставени данни за желаещи да ползват социални услуги на територията на община Сапарева баня.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Сапарева баня,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Всички потребители на Асистентска подкрепа са от община Сапарева баня.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Сапарева баня за последните 5 години</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Общата тенденция е на застаряване на населението на община Сапарева баня. Тенденциите в демографските показатели, следват общите тенденции в демографското развитие на цялата страна - намалена  раждаемост, увеличена смъртност, засилена урбанизация и интензивна емиграция поради голямата безработица.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Единствената социална услуга е Асистентска подкрепа и към датата на изготвяне на анализа не е отчетена необходимост от увеличаване на персонала.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8554"/>
        </w:numPr>
        <w:tabs>
          <w:tab w:val="left" w:pos="862" w:leader="none"/>
          <w:tab w:val="left" w:pos="1430" w:leader="none"/>
        </w:tabs>
        <w:spacing w:before="0" w:after="0" w:line="240"/>
        <w:ind w:right="0" w:left="1430"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ОБЩИНА ТРЕКЛЯНО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са използвани официални източници на информация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Кюстендил, РЗИ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Кюстендил,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Кюстендил, НСИ-ТСБ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Кюстендил, ЕСГРАОН община Трекляно.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Трекляно, към 31.12.2021 г. е 714 жители, от тях 42 деца до 18-годишна възраст. Общият брой на лицата с трайни увреждания е 63, от тях деца 0.</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Трекляно е разкрита само социалната услуга Асистентска подкрепа, с брой потребители 9.</w:t>
      </w:r>
    </w:p>
    <w:tbl>
      <w:tblPr/>
      <w:tblGrid>
        <w:gridCol w:w="5010"/>
        <w:gridCol w:w="4050"/>
      </w:tblGrid>
      <w:tr>
        <w:trPr>
          <w:trHeight w:val="1" w:hRule="atLeast"/>
          <w:jc w:val="left"/>
        </w:trPr>
        <w:tc>
          <w:tcPr>
            <w:tcW w:w="5010"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708"/>
              <w:jc w:val="both"/>
              <w:rPr>
                <w:rFonts w:ascii="Calibri" w:hAnsi="Calibri" w:cs="Calibri" w:eastAsia="Calibri"/>
                <w:color w:val="auto"/>
                <w:spacing w:val="0"/>
                <w:position w:val="0"/>
                <w:sz w:val="22"/>
                <w:shd w:fill="auto" w:val="clear"/>
              </w:rPr>
            </w:pPr>
          </w:p>
        </w:tc>
        <w:tc>
          <w:tcPr>
            <w:tcW w:w="4050"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left"/>
        </w:trPr>
        <w:tc>
          <w:tcPr>
            <w:tcW w:w="501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40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501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40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r>
    </w:tbl>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Трекляно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момента на изготвяне на анализа няма желаещи да ползват социалната услуга Асистентска подкрепа.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Трекляно, различна от  общината по настоящ адрес</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лица от други общини, които ползват социални услуги в община Трекляно.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Трекляно за последните 5 години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община Трекляно продължават неблагоприятните демографски тенденции. Влияние върху демографското развитие на общината оказват световните и национални демографски процеси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намалена брачност и раждаемост, засилена урбанизация, както и специфичните - увеличена смъртност и интензивна емиграция. В резултат на тези процеси населението на общината намалява и застарява ежегодно. Динамиката показва колеблива тенденция на намаляване на населението</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Социалната услуга е обезпечена с нужните служители.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8572"/>
        </w:numPr>
        <w:tabs>
          <w:tab w:val="left" w:pos="718" w:leader="none"/>
        </w:tabs>
        <w:spacing w:before="0" w:after="0" w:line="240"/>
        <w:ind w:right="0" w:left="718"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АНАЛИЗ НА ПОТРЕБНОСТИТЕ В ОБЛАСТ КЮСТЕНДИЛ (обобщено)</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обобщени за област Кюстендил по общини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общините от област Кюстендил информацията за населението критериите съгласно Наредбата за планиране на социалните услуги е получена от отдел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Статистически данни“- Кюстендил към ТСБ Югозапад, информационна система ГРАО на общините, Агенция за хората с увреждания, РЗИ, ДСП, ДБТ, кметове и кметски наместници, РУО, училища, лечебни заведения, социални услуги и др.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област Кюстендил, към 31.12.2021 г. е 154395 жители, от тях 23056 деца до 18-годишна възраст. Общият брой на лицата с трайни увреждания е 15041, от тях деца 455.</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областта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брои на социалните услуги на територията на област Кюстендил е 40 с 1146 потребители. Броят на социалните услуги за пълнолетни лица е 29, с 862 потребители.</w:t>
      </w:r>
    </w:p>
    <w:p>
      <w:pPr>
        <w:spacing w:before="0" w:after="0" w:line="240"/>
        <w:ind w:right="0" w:left="0" w:firstLine="708"/>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за деца са 11 с 284 потребители.</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графиките е видно, че на територията на областта преобладават услугите за резидентна грижа (ЦНСТ, ПЖ) 15 услуги за 173 потребители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услугите в домашна среда (АП)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9 </w:t>
      </w:r>
      <w:r>
        <w:rPr>
          <w:rFonts w:ascii="Times New Roman" w:hAnsi="Times New Roman" w:cs="Times New Roman" w:eastAsia="Times New Roman"/>
          <w:color w:val="auto"/>
          <w:spacing w:val="0"/>
          <w:position w:val="0"/>
          <w:sz w:val="24"/>
          <w:shd w:fill="auto" w:val="clear"/>
        </w:rPr>
        <w:t xml:space="preserve">услуги за 489 потребители, услугите в специализирани институции за пълнолетни лица (ДСХ) 1 услуги за 60 потребители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консултативни услуги (ДЦ, ЦСРИ, ЦОП,)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15 </w:t>
      </w:r>
      <w:r>
        <w:rPr>
          <w:rFonts w:ascii="Times New Roman" w:hAnsi="Times New Roman" w:cs="Times New Roman" w:eastAsia="Times New Roman"/>
          <w:color w:val="auto"/>
          <w:spacing w:val="0"/>
          <w:position w:val="0"/>
          <w:sz w:val="24"/>
          <w:shd w:fill="auto" w:val="clear"/>
        </w:rPr>
        <w:t xml:space="preserve">услуги за 424 потребители.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област Кюстендил</w:t>
      </w:r>
    </w:p>
    <w:tbl>
      <w:tblPr/>
      <w:tblGrid>
        <w:gridCol w:w="4037"/>
        <w:gridCol w:w="5023"/>
      </w:tblGrid>
      <w:tr>
        <w:trPr>
          <w:trHeight w:val="1" w:hRule="atLeast"/>
          <w:jc w:val="left"/>
        </w:trPr>
        <w:tc>
          <w:tcPr>
            <w:tcW w:w="4037"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023" w:type="dxa"/>
            <w:tcBorders>
              <w:top w:val="single" w:color="000000" w:sz="4"/>
              <w:left w:val="single" w:color="000000" w:sz="4"/>
              <w:bottom w:val="single" w:color="000000" w:sz="4"/>
              <w:right w:val="single" w:color="000000" w:sz="4"/>
            </w:tcBorders>
            <w:shd w:color="auto" w:fill="acb9ca"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Асистентска подкрепа</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57</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ПЖЛ</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ЦНСТПЛПР</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327</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ДЦСХ</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ЦНСТПЛУИ</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ЗЖЛПР</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Общо</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708"/>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420</w:t>
            </w:r>
          </w:p>
        </w:tc>
      </w:tr>
    </w:tbl>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Най-голям е броят на желаещите да ползват резидентна услуга за пълнолетни лица с психични разстройства, както е голям и броят на лицата за включване в Асистентска подкрепа.Общо 420 лица са включени в списъците на чакащите за ползване на социални услуги в териториалния обхват на област Кюстендил. </w:t>
      </w:r>
    </w:p>
    <w:p>
      <w:pPr>
        <w:spacing w:before="0" w:after="0" w:line="240"/>
        <w:ind w:right="0" w:left="0" w:firstLine="708"/>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област Кюстендил, различна от  общината по настоящ адрес</w:t>
      </w:r>
    </w:p>
    <w:p>
      <w:pPr>
        <w:spacing w:before="0" w:after="0" w:line="240"/>
        <w:ind w:right="0" w:left="0" w:firstLine="708"/>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и интегрирани здравно-социални услуги на територията на област Кюстендил, различна от общината по настоящ адрес е 163. Най-голям е техният брой в социалните услуги на територията на общините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Кочериново, Дупница и Рила, следвани от община Бобов дол. В общините Бобошево, Невестино, Сапарева баня и Трекляно се предоставя единствено Асистентска подкрепа и потребителите са от съответната община. В община Кюстендил няма лица от други населени места, ползващи социалните услуги.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графиката е представено сравнение между функциониращите към момента социални услуги, финансирани от държавния бюджет, съотнесени към социалните услуги по чл. 15 от ЗСУ, максималния брой потребители, съгласно критериите по Наредбата за планиране на социалните услуги и поетите ангажименти от общините в областта.</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област Кюстендил за последните 5 години</w:t>
      </w:r>
    </w:p>
    <w:p>
      <w:pPr>
        <w:spacing w:before="0" w:after="0" w:line="240"/>
        <w:ind w:right="0" w:left="0" w:firstLine="708"/>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Анализът на данните на демографското развитие в област Кюстендил за периода 2021 г.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2017 </w:t>
      </w:r>
      <w:r>
        <w:rPr>
          <w:rFonts w:ascii="Times New Roman" w:hAnsi="Times New Roman" w:cs="Times New Roman" w:eastAsia="Times New Roman"/>
          <w:color w:val="auto"/>
          <w:spacing w:val="0"/>
          <w:position w:val="0"/>
          <w:sz w:val="24"/>
          <w:shd w:fill="auto" w:val="clear"/>
        </w:rPr>
        <w:t xml:space="preserve">г. показва тенденция към намаление на броя на населението във всички общини. Във всички общини се отчита ниска раждаемост с тенденция към намаление, висока смъртност и отрицателен естествен прираст. Прогресивно намаляване на относителния дял на лицата в трудоспособна възраст. Устойчива тенденция към емиграция и обезлюдяване. Висок е броя на хората с увреждания, както и на самотно живеещите стари хора от  селата в общината, с невъзможност за самообслужване.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Всички тези фактори, показват че на територията на общината населението застарява и има необходимост от социални услуги за резидентна грижа и услуги в домашна среда. Към настоящия момент всички общини имат ползватели на механизма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Лична помощ“ по реда на Закона за личната помощ, участват и в процедура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Топъл обяд“</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 Програма за храни и основно материално подпомагане 2021 г. -2027 г., в процедура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Патронажна грижа +“ и др. с оглед осигуряване на възможност за грижа и подкрепа на по-голяма част от населението в областта. Предизвикателство пред общините е и миграцията на населението в трудоспособна възраст към други европейски страни, което създава сериозни рискове за децата от тези семейства по отношение на пълноценната родителска грижа, образованието и развитието им.</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момента на изготвяне на анализа назначения персонал в различните услуги покрива определените минимални изисквания, съгласно стандартите за качество на социалните услуги с оглед ефективното им предоставяне. От данните е видно, че е малък относителния дял на незаетите места, което в по-голяма степен се отнася до нуждата от специалисти. Общините са използвали различни възможности за наемане на необходимите служители за извършване на дейностите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специалисти се търсят както в ДБТ, така и на свободния пазар.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Една от предпоставките за ефективност на социалните  услуги е наличието на квалифициран и мотивиран персонал. Развитието и обучението на човешките ресурси в тази област е важна предпоставка за качествени услуги, които да съдействат за повишаване и качеството на живот на отделните индивиди, семейства и групи.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Кюстендил</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Социалната политика в България е насочена към превенция и преодоляване на социалното изключване на уязвимите групи в обществото. Социалните услуги са ключов фактор за ефективно социално включване и участие в живота на обществото на всички групи лица, които имат необходимост от подкрепа. Във основа на направения анализ на състоянието на социалните услуги на територията на областта и очерталите се тенденции, могат да се направят следните изводи: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има голям брой социални услуги за резидентна грижа за пълнолетни лица, но броят им е недостатъчен за задоволяване на потребностите на жителите на областта;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Недостатъчен е броят на услугите за дневна и почасова грижа и подкрепа;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 територията на областта няма интегрирани здравно-социални услуги за деца и пълнолетни лица;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има голяма потребност от интегрирани здравно-социални услуги, но от ИЗСУ-РГВХНСППМГ. Планирано е създаването на нови такива, за да могат лицата, които имат необходимост от постоянни медицински грижи да получат нужната подкрепа за удовлетворяване на специфичните им потребности в съответните услуги, целящи именно това;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Очертава се потребност от увеличаване на субсидираните потребители на социалната услуга АП</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8617"/>
        </w:numPr>
        <w:tabs>
          <w:tab w:val="left" w:pos="432" w:leader="none"/>
        </w:tabs>
        <w:spacing w:before="0" w:after="120" w:line="240"/>
        <w:ind w:right="0" w:left="432" w:hanging="432"/>
        <w:jc w:val="both"/>
        <w:rPr>
          <w:rFonts w:ascii="Times New Roman" w:hAnsi="Times New Roman" w:cs="Times New Roman" w:eastAsia="Times New Roman"/>
          <w:b/>
          <w:color w:val="003366"/>
          <w:spacing w:val="0"/>
          <w:position w:val="0"/>
          <w:sz w:val="36"/>
          <w:shd w:fill="auto" w:val="clear"/>
        </w:rPr>
      </w:pPr>
      <w:r>
        <w:rPr>
          <w:rFonts w:ascii="Times New Roman" w:hAnsi="Times New Roman" w:cs="Times New Roman" w:eastAsia="Times New Roman"/>
          <w:b/>
          <w:color w:val="003366"/>
          <w:spacing w:val="0"/>
          <w:position w:val="0"/>
          <w:sz w:val="36"/>
          <w:shd w:fill="auto" w:val="clear"/>
        </w:rPr>
        <w:t xml:space="preserve">ЮЖЕН ЦЕНТРАЛЕН РЕГИОН </w:t>
      </w:r>
    </w:p>
    <w:p>
      <w:pPr>
        <w:keepNext w:val="true"/>
        <w:numPr>
          <w:ilvl w:val="0"/>
          <w:numId w:val="8617"/>
        </w:numPr>
        <w:tabs>
          <w:tab w:val="left" w:pos="718" w:leader="none"/>
          <w:tab w:val="left" w:pos="576" w:leader="none"/>
        </w:tabs>
        <w:spacing w:before="0" w:after="120" w:line="240"/>
        <w:ind w:right="0" w:left="576" w:hanging="576"/>
        <w:jc w:val="both"/>
        <w:rPr>
          <w:rFonts w:ascii="Times New Roman" w:hAnsi="Times New Roman" w:cs="Times New Roman" w:eastAsia="Times New Roman"/>
          <w:b/>
          <w:color w:val="003366"/>
          <w:spacing w:val="0"/>
          <w:position w:val="0"/>
          <w:sz w:val="28"/>
          <w:shd w:fill="auto" w:val="clear"/>
        </w:rPr>
      </w:pPr>
      <w:r>
        <w:rPr>
          <w:rFonts w:ascii="Times New Roman" w:hAnsi="Times New Roman" w:cs="Times New Roman" w:eastAsia="Times New Roman"/>
          <w:b/>
          <w:color w:val="003366"/>
          <w:spacing w:val="0"/>
          <w:position w:val="0"/>
          <w:sz w:val="28"/>
          <w:shd w:fill="auto" w:val="clear"/>
        </w:rPr>
        <w:t xml:space="preserve">ОБЛАСТ ПЛОВДИВ </w:t>
      </w:r>
    </w:p>
    <w:p>
      <w:pPr>
        <w:keepNext w:val="true"/>
        <w:tabs>
          <w:tab w:val="left" w:pos="862" w:leader="none"/>
        </w:tabs>
        <w:spacing w:before="0" w:after="12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АСЕНОВГРАД</w:t>
      </w:r>
    </w:p>
    <w:p>
      <w:pPr>
        <w:spacing w:before="0" w:after="120" w:line="240"/>
        <w:ind w:right="0" w:left="0" w:firstLine="0"/>
        <w:jc w:val="both"/>
        <w:rPr>
          <w:rFonts w:ascii="Times New Roman" w:hAnsi="Times New Roman" w:cs="Times New Roman" w:eastAsia="Times New Roman"/>
          <w:b/>
          <w:i/>
          <w:color w:val="auto"/>
          <w:spacing w:val="5"/>
          <w:position w:val="0"/>
          <w:sz w:val="24"/>
          <w:shd w:fill="auto" w:val="clear"/>
        </w:rPr>
      </w:pPr>
      <w:r>
        <w:rPr>
          <w:rFonts w:ascii="Times New Roman" w:hAnsi="Times New Roman" w:cs="Times New Roman" w:eastAsia="Times New Roman"/>
          <w:b/>
          <w:i/>
          <w:color w:val="auto"/>
          <w:spacing w:val="5"/>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4D5156"/>
          <w:spacing w:val="0"/>
          <w:position w:val="0"/>
          <w:sz w:val="21"/>
          <w:shd w:fill="FFFFFF" w:val="clear"/>
        </w:rPr>
      </w:pPr>
      <w:r>
        <w:rPr>
          <w:rFonts w:ascii="Times New Roman" w:hAnsi="Times New Roman" w:cs="Times New Roman" w:eastAsia="Times New Roman"/>
          <w:color w:val="auto"/>
          <w:spacing w:val="0"/>
          <w:position w:val="0"/>
          <w:sz w:val="24"/>
          <w:shd w:fill="auto" w:val="clear"/>
        </w:rPr>
        <w:t xml:space="preserve">По данни на община Асеновград информацията за населението по настоящ адрес е получена от общинска администрация, Национален статистически институт (НСИ),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(ДСП) - Асеновград, Дирекция "Бюро по труда"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Асеновград, Национален осигурителен институт (НОИ), Регионална здравна инспекция (РЗИ)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Пловдив.</w:t>
      </w:r>
      <w:r>
        <w:rPr>
          <w:rFonts w:ascii="Times New Roman" w:hAnsi="Times New Roman" w:cs="Times New Roman" w:eastAsia="Times New Roman"/>
          <w:color w:val="4D5156"/>
          <w:spacing w:val="0"/>
          <w:position w:val="0"/>
          <w:sz w:val="21"/>
          <w:shd w:fill="FFFFFF" w:val="clear"/>
        </w:rPr>
        <w:t xml:space="preserve">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Асеновград е 63 222 жители, от тях 10 644 деца до 18-годишна възраст. Общия брой на лицата с трайни увреждания е 7 887, от тях деца 271.</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2"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Асеновград са разкрити 7 социални услуги, от тях 5 се предоставят в гр. Асеновград и 2 в с. Нареченски бани. Общият капацитет на социалните услуги е 372 потребители, в т.ч. 198 асистентска подкрепа.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588"/>
        <w:gridCol w:w="1136"/>
        <w:gridCol w:w="1061"/>
        <w:gridCol w:w="1100"/>
        <w:gridCol w:w="1423"/>
        <w:gridCol w:w="1100"/>
        <w:gridCol w:w="1652"/>
      </w:tblGrid>
      <w:tr>
        <w:trPr>
          <w:trHeight w:val="1" w:hRule="atLeast"/>
          <w:jc w:val="center"/>
        </w:trPr>
        <w:tc>
          <w:tcPr>
            <w:tcW w:w="1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776" w:firstLine="0"/>
              <w:jc w:val="both"/>
              <w:rPr>
                <w:rFonts w:ascii="Calibri" w:hAnsi="Calibri" w:cs="Calibri" w:eastAsia="Calibri"/>
                <w:color w:val="auto"/>
                <w:spacing w:val="0"/>
                <w:position w:val="0"/>
                <w:sz w:val="22"/>
                <w:shd w:fill="auto" w:val="clear"/>
              </w:rPr>
            </w:pPr>
          </w:p>
        </w:tc>
        <w:tc>
          <w:tcPr>
            <w:tcW w:w="11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ДЦДМУ</w:t>
            </w:r>
          </w:p>
        </w:tc>
        <w:tc>
          <w:tcPr>
            <w:tcW w:w="10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11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w:t>
            </w:r>
          </w:p>
        </w:tc>
        <w:tc>
          <w:tcPr>
            <w:tcW w:w="14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ЦНСТДБУ</w:t>
            </w:r>
          </w:p>
        </w:tc>
        <w:tc>
          <w:tcPr>
            <w:tcW w:w="11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c>
          <w:tcPr>
            <w:tcW w:w="16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ЦНСТПЛУИ</w:t>
            </w:r>
          </w:p>
        </w:tc>
      </w:tr>
      <w:tr>
        <w:trPr>
          <w:trHeight w:val="1" w:hRule="atLeast"/>
          <w:jc w:val="center"/>
        </w:trPr>
        <w:tc>
          <w:tcPr>
            <w:tcW w:w="1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1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0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1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6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center"/>
        </w:trPr>
        <w:tc>
          <w:tcPr>
            <w:tcW w:w="1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1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0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75</w:t>
            </w:r>
          </w:p>
        </w:tc>
        <w:tc>
          <w:tcPr>
            <w:tcW w:w="11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4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c>
          <w:tcPr>
            <w:tcW w:w="11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198</w:t>
            </w:r>
          </w:p>
        </w:tc>
        <w:tc>
          <w:tcPr>
            <w:tcW w:w="16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bl>
    <w:p>
      <w:pPr>
        <w:keepNext w:val="true"/>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Асеновград</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желаещи да ползват социални услуги на територията на община Асеновград. </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Асеновград,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Асеновград, от други общини е 21. </w:t>
      </w:r>
    </w:p>
    <w:p>
      <w:pPr>
        <w:spacing w:before="0" w:after="120" w:line="240"/>
        <w:ind w:right="0" w:left="0" w:firstLine="708"/>
        <w:jc w:val="both"/>
        <w:rPr>
          <w:rFonts w:ascii="Times New Roman" w:hAnsi="Times New Roman" w:cs="Times New Roman" w:eastAsia="Times New Roman"/>
          <w:color w:val="auto"/>
          <w:spacing w:val="0"/>
          <w:position w:val="0"/>
          <w:sz w:val="24"/>
          <w:shd w:fill="auto" w:val="clear"/>
        </w:rPr>
      </w:pPr>
    </w:p>
    <w:tbl>
      <w:tblPr/>
      <w:tblGrid>
        <w:gridCol w:w="4530"/>
        <w:gridCol w:w="4530"/>
      </w:tblGrid>
      <w:tr>
        <w:trPr>
          <w:trHeight w:val="1" w:hRule="atLeast"/>
          <w:jc w:val="left"/>
        </w:trPr>
        <w:tc>
          <w:tcPr>
            <w:tcW w:w="45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45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r>
      <w:tr>
        <w:trPr>
          <w:trHeight w:val="1" w:hRule="atLeast"/>
          <w:jc w:val="left"/>
        </w:trPr>
        <w:tc>
          <w:tcPr>
            <w:tcW w:w="45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45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r>
        <w:trPr>
          <w:trHeight w:val="1" w:hRule="atLeast"/>
          <w:jc w:val="left"/>
        </w:trPr>
        <w:tc>
          <w:tcPr>
            <w:tcW w:w="45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45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Асеновград за последните 5 години</w:t>
      </w:r>
    </w:p>
    <w:p>
      <w:pPr>
        <w:tabs>
          <w:tab w:val="left" w:pos="709" w:leader="none"/>
        </w:tabs>
        <w:suppressAutoHyphens w:val="true"/>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Графиката показва намаляване броя на населението, като темповете са сравнително по-ниски в сравнение с другите общини. Разпределението му е неравномерно по селата и е концентрирано в гр. Асеновград в следствие на миграцията към големите градове в търсене на работа и отрицателния естествен прираст.</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Горецитирания показател е отрицателен, смъртността е висока, а  раждаемостта е около средните нива за областта и страната. До 2018 г. в община Асеновград механичният прираст е отрицателна величина, като за периода 2019-2021 г. се отчита положителен механичен прираст, което е благоприятна демографска тенденция.</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предоставените данни за наличните социални услуги на територията на община Асеновград е видно, че те са обезпечени със служители. При всички социални услуги е необходимо увеличаване на щатните бройки за достигане до минималните изисквания в стандартите за качество по НКСУ. </w:t>
      </w:r>
    </w:p>
    <w:p>
      <w:pPr>
        <w:keepNext w:val="true"/>
        <w:tabs>
          <w:tab w:val="left" w:pos="862" w:leader="none"/>
        </w:tabs>
        <w:spacing w:before="0" w:after="12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БРЕЗОВО</w:t>
      </w:r>
    </w:p>
    <w:p>
      <w:pPr>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Брезово информацията за населението по настоящ адрес е получена от НСИ, ГРАО,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Пловдив,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Раковски, образователни институции и ръководители на социални услуги в община Брезово.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Брезово е 6 528 жители, от тях 1 125 деца до 18-годишна възраст. Общия брой на лицата с трайни увреждания е 669, от тях деца 13.</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2"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Брезово са разкрити 4 социални услуги, от тях 2 се предоставят в гр. Брезово и 2 в с. Зелениково. Общият капацитет на социалните услуги е 70 потребители, в т.ч. 31 асистентска подкрепа.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265"/>
        <w:gridCol w:w="2265"/>
        <w:gridCol w:w="2265"/>
        <w:gridCol w:w="2265"/>
      </w:tblGrid>
      <w:tr>
        <w:trPr>
          <w:trHeight w:val="1" w:hRule="atLeast"/>
          <w:jc w:val="center"/>
        </w:trPr>
        <w:tc>
          <w:tcPr>
            <w:tcW w:w="22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776" w:firstLine="0"/>
              <w:jc w:val="both"/>
              <w:rPr>
                <w:rFonts w:ascii="Calibri" w:hAnsi="Calibri" w:cs="Calibri" w:eastAsia="Calibri"/>
                <w:color w:val="auto"/>
                <w:spacing w:val="0"/>
                <w:position w:val="0"/>
                <w:sz w:val="22"/>
                <w:shd w:fill="auto" w:val="clear"/>
              </w:rPr>
            </w:pPr>
          </w:p>
        </w:tc>
        <w:tc>
          <w:tcPr>
            <w:tcW w:w="22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ЦНСТДБУ</w:t>
            </w:r>
          </w:p>
        </w:tc>
        <w:tc>
          <w:tcPr>
            <w:tcW w:w="22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22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center"/>
        </w:trPr>
        <w:tc>
          <w:tcPr>
            <w:tcW w:w="22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2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22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2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center"/>
        </w:trPr>
        <w:tc>
          <w:tcPr>
            <w:tcW w:w="22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2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c>
          <w:tcPr>
            <w:tcW w:w="22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22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31</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Брезово</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желаещи да ползват социални услуги на територията на община Брезово.</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Брезово, различна от общината по настоящ адрес</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Брезово няма лица от други населени места, желаещи да ползват социални услуги.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Брезово за последните 5 години</w:t>
      </w:r>
    </w:p>
    <w:p>
      <w:pPr>
        <w:spacing w:before="0" w:after="12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569"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569"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Графиката показва намаление на общия брой на населението, ниска раждаемост и висока смъртност. Наблюдава се тенденция към застаряване и по този показател община Брезово е над средния процент за страната. Причина за това е лошата икономическа обстановка и миграцията. </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120" w:line="240"/>
        <w:ind w:right="-569"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предоставените данни за наличните социални услуги на територията на община Брезово е видно, че те са обезпечени със служители. Необходимо е увеличаване на щатните бройки за достигане до минималните изисквания в стандартите за качество по НКСУ. </w:t>
      </w:r>
    </w:p>
    <w:p>
      <w:pPr>
        <w:keepNext w:val="true"/>
        <w:tabs>
          <w:tab w:val="left" w:pos="862" w:leader="none"/>
        </w:tabs>
        <w:spacing w:before="0" w:after="120" w:line="240"/>
        <w:ind w:right="-569"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КАЛОЯНОВО</w:t>
      </w:r>
    </w:p>
    <w:p>
      <w:pPr>
        <w:spacing w:before="0" w:after="60" w:line="276"/>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120" w:line="240"/>
        <w:ind w:right="-569"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Калояново информацията за населението по настоящ адрес е получена от общинска администрация, ГРАО, ДСП - Хисаря, РЗИ - Пловдив, РУО-Пловдив, ДБТ-Марица, НОИ, НСИ, ръководители на социални услуги в общината.  </w:t>
      </w:r>
    </w:p>
    <w:p>
      <w:pPr>
        <w:spacing w:before="0" w:after="120" w:line="240"/>
        <w:ind w:right="-569"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Калояново е 11 233 жители, от тях 1 574 деца до 18-годишна възраст. Общия брой на лицата с трайни увреждания е 1 181, от тях деца 33.</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428"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Калояново функционират 2 социални услуги, от тях дневната грижа се предоставя в с. Долна Махала, а услугата в домашна среда - в с. Калояново. Общият капацитет на социалните услуги е 63 потребители, в т.ч. 43 асистентска подкрепа.</w:t>
      </w:r>
    </w:p>
    <w:p>
      <w:pPr>
        <w:spacing w:before="0" w:after="120" w:line="240"/>
        <w:ind w:right="-428"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p>
    <w:tbl>
      <w:tblPr/>
      <w:tblGrid>
        <w:gridCol w:w="3020"/>
        <w:gridCol w:w="3021"/>
        <w:gridCol w:w="3019"/>
      </w:tblGrid>
      <w:tr>
        <w:trPr>
          <w:trHeight w:val="1" w:hRule="atLeast"/>
          <w:jc w:val="left"/>
        </w:trPr>
        <w:tc>
          <w:tcPr>
            <w:tcW w:w="30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z w:val="22"/>
                <w:shd w:fill="auto" w:val="clear"/>
              </w:rPr>
            </w:pPr>
          </w:p>
        </w:tc>
        <w:tc>
          <w:tcPr>
            <w:tcW w:w="30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ДЦСХ</w:t>
            </w:r>
          </w:p>
        </w:tc>
        <w:tc>
          <w:tcPr>
            <w:tcW w:w="30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left"/>
        </w:trPr>
        <w:tc>
          <w:tcPr>
            <w:tcW w:w="30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30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30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0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30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30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43</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Калояново</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Броят на желаещите да ползват социални услуги на територията на община Калояново е 3 лица.  По услуги:</w:t>
      </w:r>
    </w:p>
    <w:tbl>
      <w:tblPr/>
      <w:tblGrid>
        <w:gridCol w:w="4530"/>
        <w:gridCol w:w="4530"/>
      </w:tblGrid>
      <w:tr>
        <w:trPr>
          <w:trHeight w:val="396" w:hRule="auto"/>
          <w:jc w:val="left"/>
        </w:trPr>
        <w:tc>
          <w:tcPr>
            <w:tcW w:w="45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45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396" w:hRule="auto"/>
          <w:jc w:val="left"/>
        </w:trPr>
        <w:tc>
          <w:tcPr>
            <w:tcW w:w="45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c>
          <w:tcPr>
            <w:tcW w:w="45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Калояново, различна от общината по настоящ адрес</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Брезово няма лица от други населени места, желаещи да ползват социални услуги.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Калояново за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Графиката показва, постепенно намаление на общия брой на населението, ниска раждаемост, завишаване на смъртността и отрицателeн естествен прираст. Населението в общината продължава да застарява и териториалното му разпределение е неравномерно. Миграцията засяга предимно хора в активна възраст и процесът е свързан със струпването им в големите градове. </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предоставените данни за наличните социални услуги на територията на община Калояново е видно, че те са обезпечени със служители, необходими за предоставяне на съответните услуги.   </w:t>
      </w:r>
    </w:p>
    <w:p>
      <w:pPr>
        <w:keepNext w:val="true"/>
        <w:tabs>
          <w:tab w:val="left" w:pos="862" w:leader="none"/>
        </w:tabs>
        <w:spacing w:before="0" w:after="12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КАРЛОВО</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за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Карлово информацията за населението по настоящ адрес е получена от НСИ, РУО-Пловдив, ДСП-Карлово, ДБТ-Карлово и медицински институции.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Карлово е 46 437 жители, от тях 8 712 деца до 18-годишна възраст. Общия брой на лицата с трайни увреждания е 4 622, от тях деца 194.</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2"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Карлово са разкрити 12 социални услуги, от тях 10 се предоставят в гр. Карлово, 1 в гр. Баня и 1 в с. Бегунци. Общият капацитет на социалните услуги е за 388 потребители, в т.ч. 151 асистентска подкрепа.</w:t>
      </w:r>
    </w:p>
    <w:p>
      <w:pPr>
        <w:spacing w:before="0" w:after="120" w:line="240"/>
        <w:ind w:right="-711" w:left="0" w:firstLine="708"/>
        <w:jc w:val="both"/>
        <w:rPr>
          <w:rFonts w:ascii="Times New Roman" w:hAnsi="Times New Roman" w:cs="Times New Roman" w:eastAsia="Times New Roman"/>
          <w:color w:val="auto"/>
          <w:spacing w:val="0"/>
          <w:position w:val="0"/>
          <w:sz w:val="24"/>
          <w:shd w:fill="auto" w:val="clear"/>
        </w:rPr>
      </w:pPr>
    </w:p>
    <w:tbl>
      <w:tblPr/>
      <w:tblGrid>
        <w:gridCol w:w="1552"/>
        <w:gridCol w:w="1233"/>
        <w:gridCol w:w="1233"/>
        <w:gridCol w:w="1235"/>
        <w:gridCol w:w="1233"/>
        <w:gridCol w:w="1233"/>
        <w:gridCol w:w="1341"/>
      </w:tblGrid>
      <w:tr>
        <w:trPr>
          <w:trHeight w:val="1" w:hRule="atLeast"/>
          <w:jc w:val="left"/>
        </w:trPr>
        <w:tc>
          <w:tcPr>
            <w:tcW w:w="1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z w:val="22"/>
                <w:shd w:fill="auto" w:val="clear"/>
              </w:rPr>
            </w:pP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ДЦДМУ</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ДЦПЛУ</w:t>
            </w:r>
          </w:p>
        </w:tc>
        <w:tc>
          <w:tcPr>
            <w:tcW w:w="12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ЦСРИ</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ЦОП</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ЦНСТДБУ</w:t>
            </w:r>
          </w:p>
        </w:tc>
        <w:tc>
          <w:tcPr>
            <w:tcW w:w="13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ЦНСТПЛУИ</w:t>
            </w:r>
          </w:p>
        </w:tc>
      </w:tr>
      <w:tr>
        <w:trPr>
          <w:trHeight w:val="1" w:hRule="atLeast"/>
          <w:jc w:val="left"/>
        </w:trPr>
        <w:tc>
          <w:tcPr>
            <w:tcW w:w="1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Брой СУ</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2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3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r>
      <w:tr>
        <w:trPr>
          <w:trHeight w:val="1" w:hRule="atLeast"/>
          <w:jc w:val="left"/>
        </w:trPr>
        <w:tc>
          <w:tcPr>
            <w:tcW w:w="1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Брой потребители</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25</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30</w:t>
            </w:r>
          </w:p>
        </w:tc>
        <w:tc>
          <w:tcPr>
            <w:tcW w:w="12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20</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50</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15</w:t>
            </w:r>
          </w:p>
        </w:tc>
        <w:tc>
          <w:tcPr>
            <w:tcW w:w="13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15</w:t>
            </w:r>
          </w:p>
        </w:tc>
      </w:tr>
    </w:tbl>
    <w:p>
      <w:pPr>
        <w:spacing w:before="0" w:after="120" w:line="240"/>
        <w:ind w:right="-711" w:left="0" w:firstLine="708"/>
        <w:jc w:val="both"/>
        <w:rPr>
          <w:rFonts w:ascii="Times New Roman" w:hAnsi="Times New Roman" w:cs="Times New Roman" w:eastAsia="Times New Roman"/>
          <w:color w:val="auto"/>
          <w:spacing w:val="0"/>
          <w:position w:val="0"/>
          <w:sz w:val="24"/>
          <w:shd w:fill="auto" w:val="clear"/>
        </w:rPr>
      </w:pPr>
    </w:p>
    <w:tbl>
      <w:tblPr/>
      <w:tblGrid>
        <w:gridCol w:w="1555"/>
        <w:gridCol w:w="1178"/>
        <w:gridCol w:w="1341"/>
        <w:gridCol w:w="1323"/>
        <w:gridCol w:w="1272"/>
        <w:gridCol w:w="1007"/>
        <w:gridCol w:w="1384"/>
      </w:tblGrid>
      <w:tr>
        <w:trPr>
          <w:trHeight w:val="1" w:hRule="atLeast"/>
          <w:jc w:val="left"/>
        </w:trPr>
        <w:tc>
          <w:tcPr>
            <w:tcW w:w="155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z w:val="22"/>
                <w:shd w:fill="auto" w:val="clear"/>
              </w:rPr>
            </w:pPr>
          </w:p>
        </w:tc>
        <w:tc>
          <w:tcPr>
            <w:tcW w:w="11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ЦНСТДУ</w:t>
            </w:r>
          </w:p>
        </w:tc>
        <w:tc>
          <w:tcPr>
            <w:tcW w:w="13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ЦНСТПЛД</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ЦНСТППР</w:t>
            </w:r>
          </w:p>
        </w:tc>
        <w:tc>
          <w:tcPr>
            <w:tcW w:w="12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ЗЖЛУИ</w:t>
            </w:r>
          </w:p>
        </w:tc>
        <w:tc>
          <w:tcPr>
            <w:tcW w:w="10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ЦРДУ</w:t>
            </w:r>
          </w:p>
        </w:tc>
        <w:tc>
          <w:tcPr>
            <w:tcW w:w="13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АП</w:t>
            </w:r>
          </w:p>
        </w:tc>
      </w:tr>
      <w:tr>
        <w:trPr>
          <w:trHeight w:val="1" w:hRule="atLeast"/>
          <w:jc w:val="left"/>
        </w:trPr>
        <w:tc>
          <w:tcPr>
            <w:tcW w:w="155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Брой СУ</w:t>
            </w:r>
          </w:p>
        </w:tc>
        <w:tc>
          <w:tcPr>
            <w:tcW w:w="11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3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2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0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3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r>
      <w:tr>
        <w:trPr>
          <w:trHeight w:val="1" w:hRule="atLeast"/>
          <w:jc w:val="left"/>
        </w:trPr>
        <w:tc>
          <w:tcPr>
            <w:tcW w:w="155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Брой потребители</w:t>
            </w:r>
          </w:p>
        </w:tc>
        <w:tc>
          <w:tcPr>
            <w:tcW w:w="11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14</w:t>
            </w:r>
          </w:p>
        </w:tc>
        <w:tc>
          <w:tcPr>
            <w:tcW w:w="13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15</w:t>
            </w:r>
          </w:p>
        </w:tc>
        <w:tc>
          <w:tcPr>
            <w:tcW w:w="1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15</w:t>
            </w:r>
          </w:p>
        </w:tc>
        <w:tc>
          <w:tcPr>
            <w:tcW w:w="12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8</w:t>
            </w:r>
          </w:p>
        </w:tc>
        <w:tc>
          <w:tcPr>
            <w:tcW w:w="10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30</w:t>
            </w:r>
          </w:p>
        </w:tc>
        <w:tc>
          <w:tcPr>
            <w:tcW w:w="13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151</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Карлово</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Карлово е 2 лица. По услуги:</w:t>
      </w:r>
    </w:p>
    <w:tbl>
      <w:tblPr/>
      <w:tblGrid>
        <w:gridCol w:w="3457"/>
        <w:gridCol w:w="5603"/>
      </w:tblGrid>
      <w:tr>
        <w:trPr>
          <w:trHeight w:val="1" w:hRule="atLeast"/>
          <w:jc w:val="left"/>
        </w:trPr>
        <w:tc>
          <w:tcPr>
            <w:tcW w:w="34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6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4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56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Карлово,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Лицата от други общини, които ползват социални услуги на територията на община Карлово са 49. </w:t>
      </w:r>
    </w:p>
    <w:tbl>
      <w:tblPr/>
      <w:tblGrid>
        <w:gridCol w:w="3439"/>
        <w:gridCol w:w="5621"/>
      </w:tblGrid>
      <w:tr>
        <w:trPr>
          <w:trHeight w:val="1" w:hRule="atLeast"/>
          <w:jc w:val="left"/>
        </w:trPr>
        <w:tc>
          <w:tcPr>
            <w:tcW w:w="34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56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34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ЦНСТППР</w:t>
            </w:r>
          </w:p>
        </w:tc>
        <w:tc>
          <w:tcPr>
            <w:tcW w:w="56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r>
        <w:trPr>
          <w:trHeight w:val="1" w:hRule="atLeast"/>
          <w:jc w:val="left"/>
        </w:trPr>
        <w:tc>
          <w:tcPr>
            <w:tcW w:w="34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ЦНСТПУИ</w:t>
            </w:r>
          </w:p>
        </w:tc>
        <w:tc>
          <w:tcPr>
            <w:tcW w:w="56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r>
        <w:trPr>
          <w:trHeight w:val="1" w:hRule="atLeast"/>
          <w:jc w:val="left"/>
        </w:trPr>
        <w:tc>
          <w:tcPr>
            <w:tcW w:w="34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ЦНСТДУ</w:t>
            </w:r>
          </w:p>
        </w:tc>
        <w:tc>
          <w:tcPr>
            <w:tcW w:w="56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r>
      <w:tr>
        <w:trPr>
          <w:trHeight w:val="1" w:hRule="atLeast"/>
          <w:jc w:val="left"/>
        </w:trPr>
        <w:tc>
          <w:tcPr>
            <w:tcW w:w="34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56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34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56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Карлово за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Графиката показва, постепенно намаление на общия брой на населението. Естественият прираст е отрицателeн и е основен фактор за влошаване на демографската картина в общината. Налице е тенденция на застаряване на населението както в резултат на естествените процеси, в това число и намаляване на относителния дял на населението в под трудоспособна възраст, така и в резултат на трудовата миграция.</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социалните услуги, на територията на общината е нает необходимият персонал за осигуряване на грижа за потребителите на услугите, съобразно изискванията в стандартите за качество по НКСУ.</w:t>
      </w:r>
    </w:p>
    <w:p>
      <w:pPr>
        <w:keepNext w:val="true"/>
        <w:tabs>
          <w:tab w:val="left" w:pos="862" w:leader="none"/>
        </w:tabs>
        <w:spacing w:before="0" w:after="12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КРИЧИМ </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Кричим информацията за населението по настоящ адрес е получена от По данни на община Кричим информацията за населението по настоящ адрес е получена от ГРАО, РУО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Пловдив, РЗОК,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Пловдив,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Стамболийски, МКБППМН, РУ на МВР гр. Стамболийски, Детска педагогическа стая, образователни институции, болници и ръководители на социални услуги в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Кричим е 9 422 жители, от тях 1 821 деца до 18-годишна възраст. Общия брой на лицата с трайни увреждания е 805, от тях деца 22.</w:t>
      </w:r>
    </w:p>
    <w:p>
      <w:pPr>
        <w:spacing w:before="0" w:after="120" w:line="240"/>
        <w:ind w:right="0" w:left="0" w:firstLine="567"/>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567"/>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567"/>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567"/>
        <w:jc w:val="both"/>
        <w:rPr>
          <w:rFonts w:ascii="Times New Roman" w:hAnsi="Times New Roman" w:cs="Times New Roman" w:eastAsia="Times New Roman"/>
          <w:color w:val="auto"/>
          <w:spacing w:val="0"/>
          <w:position w:val="0"/>
          <w:sz w:val="24"/>
          <w:shd w:fill="auto" w:val="clear"/>
        </w:rPr>
      </w:pPr>
    </w:p>
    <w:p>
      <w:pPr>
        <w:spacing w:before="0" w:after="120" w:line="240"/>
        <w:ind w:right="48" w:left="-15" w:firstLine="422"/>
        <w:jc w:val="both"/>
        <w:rPr>
          <w:rFonts w:ascii="Times New Roman" w:hAnsi="Times New Roman" w:cs="Times New Roman" w:eastAsia="Times New Roman"/>
          <w:color w:val="000000"/>
          <w:spacing w:val="0"/>
          <w:position w:val="0"/>
          <w:sz w:val="24"/>
          <w:shd w:fill="auto" w:val="clear"/>
        </w:rPr>
      </w:pPr>
    </w:p>
    <w:p>
      <w:pPr>
        <w:spacing w:before="0" w:after="120" w:line="240"/>
        <w:ind w:right="48" w:left="-15" w:firstLine="422"/>
        <w:jc w:val="both"/>
        <w:rPr>
          <w:rFonts w:ascii="Times New Roman" w:hAnsi="Times New Roman" w:cs="Times New Roman" w:eastAsia="Times New Roman"/>
          <w:color w:val="000000"/>
          <w:spacing w:val="0"/>
          <w:position w:val="0"/>
          <w:sz w:val="24"/>
          <w:shd w:fill="auto" w:val="clear"/>
        </w:rPr>
      </w:pPr>
    </w:p>
    <w:p>
      <w:pPr>
        <w:spacing w:before="0" w:after="120" w:line="240"/>
        <w:ind w:right="48" w:left="-15" w:firstLine="422"/>
        <w:jc w:val="both"/>
        <w:rPr>
          <w:rFonts w:ascii="Times New Roman" w:hAnsi="Times New Roman" w:cs="Times New Roman" w:eastAsia="Times New Roman"/>
          <w:color w:val="000000"/>
          <w:spacing w:val="0"/>
          <w:position w:val="0"/>
          <w:sz w:val="24"/>
          <w:shd w:fill="auto" w:val="clear"/>
        </w:rPr>
      </w:pPr>
    </w:p>
    <w:p>
      <w:pPr>
        <w:spacing w:before="0" w:after="120" w:line="240"/>
        <w:ind w:right="48" w:left="-15" w:firstLine="422"/>
        <w:jc w:val="both"/>
        <w:rPr>
          <w:rFonts w:ascii="Times New Roman" w:hAnsi="Times New Roman" w:cs="Times New Roman" w:eastAsia="Times New Roman"/>
          <w:color w:val="000000"/>
          <w:spacing w:val="0"/>
          <w:position w:val="0"/>
          <w:sz w:val="24"/>
          <w:shd w:fill="auto" w:val="clear"/>
        </w:rPr>
      </w:pPr>
    </w:p>
    <w:p>
      <w:pPr>
        <w:spacing w:before="0" w:after="120" w:line="240"/>
        <w:ind w:right="48" w:left="-15" w:firstLine="422"/>
        <w:jc w:val="both"/>
        <w:rPr>
          <w:rFonts w:ascii="Times New Roman" w:hAnsi="Times New Roman" w:cs="Times New Roman" w:eastAsia="Times New Roman"/>
          <w:color w:val="000000"/>
          <w:spacing w:val="0"/>
          <w:position w:val="0"/>
          <w:sz w:val="24"/>
          <w:shd w:fill="auto" w:val="clear"/>
        </w:rPr>
      </w:pPr>
    </w:p>
    <w:p>
      <w:pPr>
        <w:spacing w:before="0" w:after="120" w:line="240"/>
        <w:ind w:right="48" w:left="-15" w:firstLine="422"/>
        <w:jc w:val="both"/>
        <w:rPr>
          <w:rFonts w:ascii="Times New Roman" w:hAnsi="Times New Roman" w:cs="Times New Roman" w:eastAsia="Times New Roman"/>
          <w:color w:val="000000"/>
          <w:spacing w:val="0"/>
          <w:position w:val="0"/>
          <w:sz w:val="24"/>
          <w:shd w:fill="auto" w:val="clear"/>
        </w:rPr>
      </w:pPr>
    </w:p>
    <w:p>
      <w:pPr>
        <w:spacing w:before="0" w:after="120" w:line="240"/>
        <w:ind w:right="48" w:left="-15" w:firstLine="422"/>
        <w:jc w:val="both"/>
        <w:rPr>
          <w:rFonts w:ascii="Times New Roman" w:hAnsi="Times New Roman" w:cs="Times New Roman" w:eastAsia="Times New Roman"/>
          <w:color w:val="000000"/>
          <w:spacing w:val="0"/>
          <w:position w:val="0"/>
          <w:sz w:val="24"/>
          <w:shd w:fill="auto" w:val="clear"/>
        </w:rPr>
      </w:pPr>
    </w:p>
    <w:p>
      <w:pPr>
        <w:spacing w:before="0" w:after="120" w:line="240"/>
        <w:ind w:right="48" w:left="-15" w:firstLine="422"/>
        <w:jc w:val="both"/>
        <w:rPr>
          <w:rFonts w:ascii="Times New Roman" w:hAnsi="Times New Roman" w:cs="Times New Roman" w:eastAsia="Times New Roman"/>
          <w:color w:val="000000"/>
          <w:spacing w:val="0"/>
          <w:position w:val="0"/>
          <w:sz w:val="24"/>
          <w:shd w:fill="auto" w:val="clear"/>
        </w:rPr>
      </w:pPr>
    </w:p>
    <w:p>
      <w:pPr>
        <w:spacing w:before="0" w:after="120" w:line="240"/>
        <w:ind w:right="48" w:left="-15" w:firstLine="422"/>
        <w:jc w:val="both"/>
        <w:rPr>
          <w:rFonts w:ascii="Times New Roman" w:hAnsi="Times New Roman" w:cs="Times New Roman" w:eastAsia="Times New Roman"/>
          <w:color w:val="000000"/>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Кричим са разкрити 3 социални услуги, които се предоставят в гр. Кричим. Общият капацитет на социалните услуги е за 86 потребители, в т.ч. 21 асистентска подкрепа.</w:t>
      </w:r>
    </w:p>
    <w:tbl>
      <w:tblPr/>
      <w:tblGrid>
        <w:gridCol w:w="3298"/>
        <w:gridCol w:w="1886"/>
        <w:gridCol w:w="1830"/>
        <w:gridCol w:w="2046"/>
      </w:tblGrid>
      <w:tr>
        <w:trPr>
          <w:trHeight w:val="1" w:hRule="atLeast"/>
          <w:jc w:val="left"/>
        </w:trPr>
        <w:tc>
          <w:tcPr>
            <w:tcW w:w="32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z w:val="22"/>
                <w:shd w:fill="auto" w:val="clear"/>
              </w:rPr>
            </w:pPr>
          </w:p>
        </w:tc>
        <w:tc>
          <w:tcPr>
            <w:tcW w:w="18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ДЦСХ</w:t>
            </w:r>
          </w:p>
        </w:tc>
        <w:tc>
          <w:tcPr>
            <w:tcW w:w="18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ЦОП</w:t>
            </w:r>
          </w:p>
        </w:tc>
        <w:tc>
          <w:tcPr>
            <w:tcW w:w="20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АП</w:t>
            </w:r>
          </w:p>
        </w:tc>
      </w:tr>
      <w:tr>
        <w:trPr>
          <w:trHeight w:val="1" w:hRule="atLeast"/>
          <w:jc w:val="left"/>
        </w:trPr>
        <w:tc>
          <w:tcPr>
            <w:tcW w:w="32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Брой СУ</w:t>
            </w:r>
          </w:p>
        </w:tc>
        <w:tc>
          <w:tcPr>
            <w:tcW w:w="18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8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20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r>
      <w:tr>
        <w:trPr>
          <w:trHeight w:val="1" w:hRule="atLeast"/>
          <w:jc w:val="left"/>
        </w:trPr>
        <w:tc>
          <w:tcPr>
            <w:tcW w:w="32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Брой потребители</w:t>
            </w:r>
          </w:p>
        </w:tc>
        <w:tc>
          <w:tcPr>
            <w:tcW w:w="18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35</w:t>
            </w:r>
          </w:p>
        </w:tc>
        <w:tc>
          <w:tcPr>
            <w:tcW w:w="18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30</w:t>
            </w:r>
          </w:p>
        </w:tc>
        <w:tc>
          <w:tcPr>
            <w:tcW w:w="20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21</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Кричим</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желаещи да ползват социални услуги на територията на община Кричим.</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Кричим,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Лицата от други общини, които ползват социални услуги на територията на община Кричим е 44 потребители. По услуги:</w:t>
      </w: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44</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Кричим за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Населението в общината е изцяло градско, като тенденцията за обезлюдяването и застаряването му не прави изключение. Основен проблем пред общината е механичната миграция, която стопява населението в работоспособна възраст, което ще доведе до ограничаването на работната сила и възпроизводствения потенциал на община Кричим в дългосрочен план.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Графиката показва, намаление на общия брой на населението, ниска раждаемост, високи нива на смъртност и отрицателен естествен прираст. </w:t>
      </w:r>
    </w:p>
    <w:p>
      <w:pPr>
        <w:spacing w:before="0" w:after="60" w:line="276"/>
        <w:ind w:right="0" w:left="0" w:firstLine="709"/>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предоставените данни за наличните социални услуги на територията на община Кричим е видно, че те са обезпечени със служители, необходими за предоставяне на съответните услуги. Необходимо е увеличаване на щатните бройки за достигане до минималните изисквания в стандартите за качество по НКСУ.</w:t>
      </w:r>
    </w:p>
    <w:p>
      <w:pPr>
        <w:keepNext w:val="true"/>
        <w:tabs>
          <w:tab w:val="left" w:pos="862" w:leader="none"/>
        </w:tabs>
        <w:spacing w:before="0" w:after="12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КУКЛЕН</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Куклен информацията за населението по настоящ адрес е получена от НСИ,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Родопи, АЗ,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Пловдив, РЗИ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Пловдив, общинска администрация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Куклен, НПО, образователни институции, болници и ръководители на социални услуги в общината</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422"/>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r>
        <w:rPr>
          <w:rFonts w:ascii="Times New Roman" w:hAnsi="Times New Roman" w:cs="Times New Roman" w:eastAsia="Times New Roman"/>
          <w:color w:val="auto"/>
          <w:spacing w:val="0"/>
          <w:position w:val="0"/>
          <w:sz w:val="24"/>
          <w:shd w:fill="auto" w:val="clear"/>
        </w:rPr>
        <w:t xml:space="preserve">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Куклен е разкрита само социалната услуга Асистентска подкрепа със 17 потребители и се предоставя в гр. Куклен. </w:t>
      </w:r>
    </w:p>
    <w:tbl>
      <w:tblPr/>
      <w:tblGrid>
        <w:gridCol w:w="5438"/>
        <w:gridCol w:w="3622"/>
      </w:tblGrid>
      <w:tr>
        <w:trPr>
          <w:trHeight w:val="1" w:hRule="atLeast"/>
          <w:jc w:val="left"/>
        </w:trPr>
        <w:tc>
          <w:tcPr>
            <w:tcW w:w="54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426"/>
              <w:jc w:val="left"/>
              <w:rPr>
                <w:rFonts w:ascii="Calibri" w:hAnsi="Calibri" w:cs="Calibri" w:eastAsia="Calibri"/>
                <w:color w:val="auto"/>
                <w:spacing w:val="0"/>
                <w:position w:val="0"/>
                <w:sz w:val="22"/>
                <w:shd w:fill="auto" w:val="clear"/>
              </w:rPr>
            </w:pPr>
          </w:p>
        </w:tc>
        <w:tc>
          <w:tcPr>
            <w:tcW w:w="36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426"/>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АП</w:t>
            </w:r>
          </w:p>
        </w:tc>
      </w:tr>
      <w:tr>
        <w:trPr>
          <w:trHeight w:val="1" w:hRule="atLeast"/>
          <w:jc w:val="left"/>
        </w:trPr>
        <w:tc>
          <w:tcPr>
            <w:tcW w:w="54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Брой СУ</w:t>
            </w:r>
          </w:p>
        </w:tc>
        <w:tc>
          <w:tcPr>
            <w:tcW w:w="36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426"/>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r>
      <w:tr>
        <w:trPr>
          <w:trHeight w:val="1" w:hRule="atLeast"/>
          <w:jc w:val="left"/>
        </w:trPr>
        <w:tc>
          <w:tcPr>
            <w:tcW w:w="54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Брой потребители</w:t>
            </w:r>
          </w:p>
        </w:tc>
        <w:tc>
          <w:tcPr>
            <w:tcW w:w="36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426"/>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17</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Куклен</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желаещи да ползват социални услуги на територията на община Куклен. </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Куклен,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Куклен няма лица от други населени места, желаещи да ползват социални услуги.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Куклен за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Графиката показва ниска раждаемост, високи нива на смъртност и отрицателен естествен прираст. Налице е тенденция на застаряване на населението.</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предоставените данни за наличните социални услуги на територията на община Куклен е видно, че е необходимо да се назначи ръководител на социалната услуга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Асистентска подкрепа“.  </w:t>
      </w:r>
    </w:p>
    <w:p>
      <w:pPr>
        <w:keepNext w:val="true"/>
        <w:tabs>
          <w:tab w:val="left" w:pos="862" w:leader="none"/>
        </w:tabs>
        <w:spacing w:before="0" w:after="12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ЛЪКИ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Лъки информацията за населението по настоящ адрес е получена от ГРАО, НСИ, ДСП</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Асеновград, ДБТ</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Пловдив и общинска администрация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Лъки.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Лъки е 2 305 жители, от тях деца до 18-годишна възраст 159. Общия брой на лицата с трайни увреждания е 390, от тях деца 4.</w:t>
      </w:r>
    </w:p>
    <w:p>
      <w:pPr>
        <w:spacing w:before="0" w:after="12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120" w:line="240"/>
        <w:ind w:right="48" w:left="0" w:firstLine="0"/>
        <w:jc w:val="both"/>
        <w:rPr>
          <w:rFonts w:ascii="Times New Roman" w:hAnsi="Times New Roman" w:cs="Times New Roman" w:eastAsia="Times New Roman"/>
          <w:color w:val="000000"/>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Лъки е разкрита само социалната услуга Асистентска подкрепа със 18 потребители и се предоставя в гр. Лъки. </w:t>
      </w:r>
    </w:p>
    <w:tbl>
      <w:tblPr/>
      <w:tblGrid>
        <w:gridCol w:w="5438"/>
        <w:gridCol w:w="3622"/>
      </w:tblGrid>
      <w:tr>
        <w:trPr>
          <w:trHeight w:val="1" w:hRule="atLeast"/>
          <w:jc w:val="left"/>
        </w:trPr>
        <w:tc>
          <w:tcPr>
            <w:tcW w:w="54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426"/>
              <w:jc w:val="left"/>
              <w:rPr>
                <w:rFonts w:ascii="Calibri" w:hAnsi="Calibri" w:cs="Calibri" w:eastAsia="Calibri"/>
                <w:color w:val="auto"/>
                <w:spacing w:val="0"/>
                <w:position w:val="0"/>
                <w:sz w:val="22"/>
                <w:shd w:fill="auto" w:val="clear"/>
              </w:rPr>
            </w:pPr>
          </w:p>
        </w:tc>
        <w:tc>
          <w:tcPr>
            <w:tcW w:w="36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426"/>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АП</w:t>
            </w:r>
          </w:p>
        </w:tc>
      </w:tr>
      <w:tr>
        <w:trPr>
          <w:trHeight w:val="1" w:hRule="atLeast"/>
          <w:jc w:val="left"/>
        </w:trPr>
        <w:tc>
          <w:tcPr>
            <w:tcW w:w="54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Брой СУ</w:t>
            </w:r>
          </w:p>
        </w:tc>
        <w:tc>
          <w:tcPr>
            <w:tcW w:w="36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426"/>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r>
      <w:tr>
        <w:trPr>
          <w:trHeight w:val="1" w:hRule="atLeast"/>
          <w:jc w:val="left"/>
        </w:trPr>
        <w:tc>
          <w:tcPr>
            <w:tcW w:w="54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Брой потребители</w:t>
            </w:r>
          </w:p>
        </w:tc>
        <w:tc>
          <w:tcPr>
            <w:tcW w:w="36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426"/>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18</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Лъки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желаещи да ползват социални услуги на територията на община Лъки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Лъки,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Лъки няма лица от други населени места, желаещи да ползват 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Лъки за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Графиката показва ниска раждаемост, високи нива на смъртност и отрицателен естествен прираст. Налице е тенденция на застаряване на населението.</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предоставените данни за наличните социални услуги на територията на община Лъки е видно, че те са обезпечени със служители, необходими за предоставяне на съответните услуги.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Като проблеми, свързани със служителите в социалните услуги, може да се посочи необходимост от кадри с медицинско образование. Друг проблем е ниската мотивация на младите хора за такъв тип работа и не на последно място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преобладаване на населението в надтрудоспособна възраст.</w:t>
      </w:r>
    </w:p>
    <w:p>
      <w:pPr>
        <w:keepNext w:val="true"/>
        <w:tabs>
          <w:tab w:val="left" w:pos="862" w:leader="none"/>
        </w:tabs>
        <w:spacing w:before="0" w:after="12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МАРИЦА</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Марица информацията за населението по настоящ адрес е получена от ГРАО, РУО-Пловдив, ДСП-Марица, РЗИ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Пловдив,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Пловдив, НОИ, НСИ и НПО.</w:t>
      </w:r>
    </w:p>
    <w:p>
      <w:pPr>
        <w:spacing w:before="0" w:after="120" w:line="24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Марица е 31 475 жители, от тях деца до 18-годишна възраст 6 153. Общия брой на лицата с трайни увреждания е 2 521, от тях деца 130.</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Марица е разкрита само социалната услуга Асистентска подкрепа със 78 потребители и е с адрес на предоставяне - гр. Пловдив. </w:t>
      </w:r>
    </w:p>
    <w:tbl>
      <w:tblPr/>
      <w:tblGrid>
        <w:gridCol w:w="5438"/>
        <w:gridCol w:w="3622"/>
      </w:tblGrid>
      <w:tr>
        <w:trPr>
          <w:trHeight w:val="1" w:hRule="atLeast"/>
          <w:jc w:val="left"/>
        </w:trPr>
        <w:tc>
          <w:tcPr>
            <w:tcW w:w="54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426"/>
              <w:jc w:val="left"/>
              <w:rPr>
                <w:rFonts w:ascii="Calibri" w:hAnsi="Calibri" w:cs="Calibri" w:eastAsia="Calibri"/>
                <w:color w:val="auto"/>
                <w:spacing w:val="0"/>
                <w:position w:val="0"/>
                <w:sz w:val="22"/>
                <w:shd w:fill="auto" w:val="clear"/>
              </w:rPr>
            </w:pPr>
          </w:p>
        </w:tc>
        <w:tc>
          <w:tcPr>
            <w:tcW w:w="36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426"/>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АП</w:t>
            </w:r>
          </w:p>
        </w:tc>
      </w:tr>
      <w:tr>
        <w:trPr>
          <w:trHeight w:val="1" w:hRule="atLeast"/>
          <w:jc w:val="left"/>
        </w:trPr>
        <w:tc>
          <w:tcPr>
            <w:tcW w:w="54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Брой СУ</w:t>
            </w:r>
          </w:p>
        </w:tc>
        <w:tc>
          <w:tcPr>
            <w:tcW w:w="36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426"/>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r>
      <w:tr>
        <w:trPr>
          <w:trHeight w:val="1" w:hRule="atLeast"/>
          <w:jc w:val="left"/>
        </w:trPr>
        <w:tc>
          <w:tcPr>
            <w:tcW w:w="54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Брой потребители</w:t>
            </w:r>
          </w:p>
        </w:tc>
        <w:tc>
          <w:tcPr>
            <w:tcW w:w="36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813" w:leader="none"/>
              </w:tabs>
              <w:spacing w:before="0" w:after="120" w:line="240"/>
              <w:ind w:right="0" w:left="0" w:firstLine="426"/>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78</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Марица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Броят на желаещите да ползват социални услуги на територията на община Марица е 4 лица.  По услуги:</w:t>
      </w:r>
    </w:p>
    <w:tbl>
      <w:tblPr/>
      <w:tblGrid>
        <w:gridCol w:w="4055"/>
        <w:gridCol w:w="5005"/>
      </w:tblGrid>
      <w:tr>
        <w:trPr>
          <w:trHeight w:val="1" w:hRule="atLeast"/>
          <w:jc w:val="left"/>
        </w:trPr>
        <w:tc>
          <w:tcPr>
            <w:tcW w:w="405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00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405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c>
          <w:tcPr>
            <w:tcW w:w="500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Марица,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Марица няма лица от други населени места, желаещи да ползват социални услуги.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Марица за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Демографската характеристика на община Марица бележи относително стабилно демографско развитие и не се наблюдава характерното за страната обезлюдяване. За анализирания 5-годишен период е констатирано устойчиво равнище на раждаемостта, но въпреки това не се компенсират по-високите стойностите на смъртността и се формира отрицателен естествен прираст. Населението в под трудоспособна възраст намалява като абсолютен брой, но се запазва като относителен дял. </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предоставените данни за наличните социални услуги на територията на община Марица е видно, че те са обезпечени със служители, необходими за предоставяне на съответните услуги. </w:t>
      </w:r>
    </w:p>
    <w:p>
      <w:pPr>
        <w:keepNext w:val="true"/>
        <w:tabs>
          <w:tab w:val="left" w:pos="862" w:leader="none"/>
        </w:tabs>
        <w:spacing w:before="0" w:after="12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ПЕРУЩИЦА</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Перущица информацията за населението по настоящ адрес е получена от НСИ,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Пловдив, ДСП-Стамболийски, общинска администрация, ГРАО.</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Перущица е 5 080 жители, от тях деца до 18-годишна възраст 1 009. Общия брой на лицата с трайни увреждания е 515, от тях деца 18.</w:t>
      </w:r>
    </w:p>
    <w:p>
      <w:pPr>
        <w:spacing w:before="0" w:after="120" w:line="240"/>
        <w:ind w:right="48" w:left="-15" w:firstLine="422"/>
        <w:jc w:val="both"/>
        <w:rPr>
          <w:rFonts w:ascii="Times New Roman" w:hAnsi="Times New Roman" w:cs="Times New Roman" w:eastAsia="Times New Roman"/>
          <w:color w:val="000000"/>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Перущица е разкрита само социалната услуга Асистентска подкрепа с 14 потребители и е с адрес на предоставяне - гр. Перущица. </w:t>
      </w:r>
    </w:p>
    <w:tbl>
      <w:tblPr/>
      <w:tblGrid>
        <w:gridCol w:w="4530"/>
        <w:gridCol w:w="4530"/>
      </w:tblGrid>
      <w:tr>
        <w:trPr>
          <w:trHeight w:val="1" w:hRule="atLeast"/>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426"/>
              <w:jc w:val="left"/>
              <w:rPr>
                <w:rFonts w:ascii="Calibri" w:hAnsi="Calibri" w:cs="Calibri" w:eastAsia="Calibri"/>
                <w:color w:val="auto"/>
                <w:spacing w:val="0"/>
                <w:position w:val="0"/>
                <w:sz w:val="22"/>
                <w:shd w:fill="auto" w:val="clear"/>
              </w:rPr>
            </w:pP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426"/>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АП</w:t>
            </w:r>
          </w:p>
        </w:tc>
      </w:tr>
      <w:tr>
        <w:trPr>
          <w:trHeight w:val="1" w:hRule="atLeast"/>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Брой СУ</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426"/>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r>
      <w:tr>
        <w:trPr>
          <w:trHeight w:val="1" w:hRule="atLeast"/>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Брой потребители</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813" w:leader="none"/>
              </w:tabs>
              <w:spacing w:before="0" w:after="120" w:line="240"/>
              <w:ind w:right="0" w:left="0" w:firstLine="426"/>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14</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Перущица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желаещи да ползват социални услуги на територията на община Перущица.  </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Перущица,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Перущица няма лица от други населени места, желаещи да ползват социални услуги.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Перущица за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Видно от гореизложената графика, в община Перущица  се наблюдава тенденция на намаляване на населението, което е изцяло градско. Естественият прираст на населението в общината е отрицателен.  Към момента не може да се говори за тежка демографска криза, но има предизвикателства пред бъдещото функциониране на системите на социално осигуряване и подпомагане, здравеопазване, образование и публични финанси в общината.</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предоставените данни за наличните социални услуги на територията на община Перущица е видно, че те са обезпечени със служители, необходими за предоставяне на съответните услуги. </w:t>
      </w:r>
    </w:p>
    <w:p>
      <w:pPr>
        <w:keepNext w:val="true"/>
        <w:tabs>
          <w:tab w:val="left" w:pos="862" w:leader="none"/>
        </w:tabs>
        <w:spacing w:before="240" w:after="60" w:line="240"/>
        <w:ind w:right="0" w:left="862" w:hanging="720"/>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ПЛОВДИВ</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Пловдив информацията за населението по настоящ адрес е получена от общинска администрация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Пловдив,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Образование“, ГРАО, ДСП, РЗИ, РУО, ДСП-Пловдив, РУО, РЗИ, ДБТ, НОИ, НСИ, НПО, социални услуги в общината и др.</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Пловдив е 368 763 жители, от тях 75 289 деца до 18-годишна. Общия брой на лицата с трайни увреждания е 30 380, от тях деца 1 366.</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Пловдив са разкрити 52 социални услуги, които се предоставят в гр. Пловдив. Общият капацитет на социалните услуги е за 2 299 потребители, в т.ч. 976 асистентска подкрепа и 200 в Дом за стари хора.</w:t>
      </w:r>
    </w:p>
    <w:tbl>
      <w:tblPr/>
      <w:tblGrid>
        <w:gridCol w:w="1588"/>
        <w:gridCol w:w="1101"/>
        <w:gridCol w:w="1461"/>
        <w:gridCol w:w="1060"/>
        <w:gridCol w:w="1750"/>
        <w:gridCol w:w="966"/>
        <w:gridCol w:w="1134"/>
      </w:tblGrid>
      <w:tr>
        <w:trPr>
          <w:trHeight w:val="1" w:hRule="atLeast"/>
          <w:jc w:val="left"/>
        </w:trPr>
        <w:tc>
          <w:tcPr>
            <w:tcW w:w="15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709"/>
              <w:jc w:val="both"/>
              <w:rPr>
                <w:rFonts w:ascii="Calibri" w:hAnsi="Calibri" w:cs="Calibri" w:eastAsia="Calibri"/>
                <w:color w:val="auto"/>
                <w:spacing w:val="0"/>
                <w:position w:val="0"/>
                <w:sz w:val="22"/>
                <w:shd w:fill="auto" w:val="clear"/>
              </w:rPr>
            </w:pPr>
          </w:p>
        </w:tc>
        <w:tc>
          <w:tcPr>
            <w:tcW w:w="110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146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ДЦДМТМУ</w:t>
            </w:r>
          </w:p>
        </w:tc>
        <w:tc>
          <w:tcPr>
            <w:tcW w:w="10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17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ДЦПЛУВТМУ</w:t>
            </w:r>
          </w:p>
        </w:tc>
        <w:tc>
          <w:tcPr>
            <w:tcW w:w="96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КЦЛ</w:t>
            </w: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КЦД</w:t>
            </w:r>
          </w:p>
        </w:tc>
      </w:tr>
      <w:tr>
        <w:trPr>
          <w:trHeight w:val="1" w:hRule="atLeast"/>
          <w:jc w:val="left"/>
        </w:trPr>
        <w:tc>
          <w:tcPr>
            <w:tcW w:w="15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10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620" w:firstLine="709"/>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46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620" w:firstLine="709"/>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0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620" w:firstLine="709"/>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7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620" w:firstLine="709"/>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6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620" w:firstLine="709"/>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620" w:firstLine="709"/>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15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Брой</w:t>
            </w:r>
          </w:p>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потребители</w:t>
            </w:r>
          </w:p>
        </w:tc>
        <w:tc>
          <w:tcPr>
            <w:tcW w:w="110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85</w:t>
            </w:r>
          </w:p>
        </w:tc>
        <w:tc>
          <w:tcPr>
            <w:tcW w:w="146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0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85</w:t>
            </w:r>
          </w:p>
        </w:tc>
        <w:tc>
          <w:tcPr>
            <w:tcW w:w="17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96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w:t>
            </w:r>
          </w:p>
        </w:tc>
      </w:tr>
    </w:tbl>
    <w:p>
      <w:pPr>
        <w:spacing w:before="0" w:after="120" w:line="240"/>
        <w:ind w:right="0" w:left="0" w:firstLine="709"/>
        <w:jc w:val="both"/>
        <w:rPr>
          <w:rFonts w:ascii="Times New Roman" w:hAnsi="Times New Roman" w:cs="Times New Roman" w:eastAsia="Times New Roman"/>
          <w:color w:val="auto"/>
          <w:spacing w:val="0"/>
          <w:position w:val="0"/>
          <w:sz w:val="24"/>
          <w:shd w:fill="auto" w:val="clear"/>
        </w:rPr>
      </w:pPr>
    </w:p>
    <w:tbl>
      <w:tblPr/>
      <w:tblGrid>
        <w:gridCol w:w="1608"/>
        <w:gridCol w:w="1418"/>
        <w:gridCol w:w="2282"/>
        <w:gridCol w:w="1877"/>
        <w:gridCol w:w="1875"/>
      </w:tblGrid>
      <w:tr>
        <w:trPr>
          <w:trHeight w:val="418" w:hRule="auto"/>
          <w:jc w:val="left"/>
        </w:trPr>
        <w:tc>
          <w:tcPr>
            <w:tcW w:w="16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z w:val="22"/>
                <w:shd w:fill="auto" w:val="clear"/>
              </w:rPr>
            </w:pP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22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ЦНСТДМУППМГ</w:t>
            </w:r>
          </w:p>
        </w:tc>
        <w:tc>
          <w:tcPr>
            <w:tcW w:w="18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18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r>
      <w:tr>
        <w:trPr>
          <w:trHeight w:val="1" w:hRule="atLeast"/>
          <w:jc w:val="left"/>
        </w:trPr>
        <w:tc>
          <w:tcPr>
            <w:tcW w:w="16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c>
          <w:tcPr>
            <w:tcW w:w="22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8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18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16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Брой</w:t>
            </w:r>
          </w:p>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потребители</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66</w:t>
            </w:r>
          </w:p>
        </w:tc>
        <w:tc>
          <w:tcPr>
            <w:tcW w:w="22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c>
          <w:tcPr>
            <w:tcW w:w="18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88</w:t>
            </w:r>
          </w:p>
        </w:tc>
        <w:tc>
          <w:tcPr>
            <w:tcW w:w="18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45</w:t>
            </w:r>
          </w:p>
        </w:tc>
      </w:tr>
    </w:tbl>
    <w:p>
      <w:pPr>
        <w:spacing w:before="0" w:after="120" w:line="240"/>
        <w:ind w:right="0" w:left="0" w:firstLine="709"/>
        <w:jc w:val="both"/>
        <w:rPr>
          <w:rFonts w:ascii="Times New Roman" w:hAnsi="Times New Roman" w:cs="Times New Roman" w:eastAsia="Times New Roman"/>
          <w:color w:val="auto"/>
          <w:spacing w:val="0"/>
          <w:position w:val="0"/>
          <w:sz w:val="24"/>
          <w:shd w:fill="auto" w:val="clear"/>
        </w:rPr>
      </w:pPr>
    </w:p>
    <w:tbl>
      <w:tblPr/>
      <w:tblGrid>
        <w:gridCol w:w="1608"/>
        <w:gridCol w:w="1550"/>
        <w:gridCol w:w="1371"/>
        <w:gridCol w:w="1066"/>
        <w:gridCol w:w="1065"/>
        <w:gridCol w:w="1335"/>
        <w:gridCol w:w="1065"/>
      </w:tblGrid>
      <w:tr>
        <w:trPr>
          <w:trHeight w:val="418" w:hRule="auto"/>
          <w:jc w:val="left"/>
        </w:trPr>
        <w:tc>
          <w:tcPr>
            <w:tcW w:w="16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z w:val="22"/>
                <w:shd w:fill="auto" w:val="clear"/>
              </w:rPr>
            </w:pPr>
          </w:p>
        </w:tc>
        <w:tc>
          <w:tcPr>
            <w:tcW w:w="1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13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ЦНСТПЛД</w:t>
            </w:r>
          </w:p>
        </w:tc>
        <w:tc>
          <w:tcPr>
            <w:tcW w:w="10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ЦСРИД</w:t>
            </w:r>
          </w:p>
        </w:tc>
        <w:tc>
          <w:tcPr>
            <w:tcW w:w="10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ЦСРИЛ</w:t>
            </w:r>
          </w:p>
        </w:tc>
        <w:tc>
          <w:tcPr>
            <w:tcW w:w="133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10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ЗЖЛПР</w:t>
            </w:r>
          </w:p>
        </w:tc>
      </w:tr>
      <w:tr>
        <w:trPr>
          <w:trHeight w:val="1" w:hRule="atLeast"/>
          <w:jc w:val="left"/>
        </w:trPr>
        <w:tc>
          <w:tcPr>
            <w:tcW w:w="16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3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0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10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33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10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6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Брой</w:t>
            </w:r>
          </w:p>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потребители</w:t>
            </w:r>
          </w:p>
        </w:tc>
        <w:tc>
          <w:tcPr>
            <w:tcW w:w="1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13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0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205</w:t>
            </w:r>
          </w:p>
        </w:tc>
        <w:tc>
          <w:tcPr>
            <w:tcW w:w="10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50</w:t>
            </w:r>
          </w:p>
        </w:tc>
        <w:tc>
          <w:tcPr>
            <w:tcW w:w="133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26</w:t>
            </w:r>
          </w:p>
        </w:tc>
        <w:tc>
          <w:tcPr>
            <w:tcW w:w="10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624"/>
        <w:gridCol w:w="1352"/>
        <w:gridCol w:w="1216"/>
        <w:gridCol w:w="1352"/>
        <w:gridCol w:w="1082"/>
        <w:gridCol w:w="1082"/>
        <w:gridCol w:w="1352"/>
      </w:tblGrid>
      <w:tr>
        <w:trPr>
          <w:trHeight w:val="418" w:hRule="auto"/>
          <w:jc w:val="left"/>
        </w:trPr>
        <w:tc>
          <w:tcPr>
            <w:tcW w:w="162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z w:val="22"/>
                <w:shd w:fill="auto" w:val="clear"/>
              </w:rPr>
            </w:pPr>
          </w:p>
        </w:tc>
        <w:tc>
          <w:tcPr>
            <w:tcW w:w="13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НЖ</w:t>
            </w:r>
          </w:p>
        </w:tc>
        <w:tc>
          <w:tcPr>
            <w:tcW w:w="12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ПЖЛ</w:t>
            </w:r>
          </w:p>
        </w:tc>
        <w:tc>
          <w:tcPr>
            <w:tcW w:w="13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ПЖД</w:t>
            </w:r>
          </w:p>
        </w:tc>
        <w:tc>
          <w:tcPr>
            <w:tcW w:w="10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ЗМБ</w:t>
            </w:r>
          </w:p>
        </w:tc>
        <w:tc>
          <w:tcPr>
            <w:tcW w:w="108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13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Приют</w:t>
            </w:r>
          </w:p>
        </w:tc>
      </w:tr>
      <w:tr>
        <w:trPr>
          <w:trHeight w:val="1" w:hRule="atLeast"/>
          <w:jc w:val="left"/>
        </w:trPr>
        <w:tc>
          <w:tcPr>
            <w:tcW w:w="162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3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3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0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08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13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62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Брой</w:t>
            </w:r>
          </w:p>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потребители</w:t>
            </w:r>
          </w:p>
        </w:tc>
        <w:tc>
          <w:tcPr>
            <w:tcW w:w="13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12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13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c>
          <w:tcPr>
            <w:tcW w:w="10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c>
          <w:tcPr>
            <w:tcW w:w="108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230</w:t>
            </w:r>
          </w:p>
        </w:tc>
        <w:tc>
          <w:tcPr>
            <w:tcW w:w="13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652"/>
        <w:gridCol w:w="2211"/>
        <w:gridCol w:w="1988"/>
        <w:gridCol w:w="2209"/>
      </w:tblGrid>
      <w:tr>
        <w:trPr>
          <w:trHeight w:val="418" w:hRule="auto"/>
          <w:jc w:val="left"/>
        </w:trPr>
        <w:tc>
          <w:tcPr>
            <w:tcW w:w="26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z w:val="22"/>
                <w:shd w:fill="auto" w:val="clear"/>
              </w:rPr>
            </w:pPr>
          </w:p>
        </w:tc>
        <w:tc>
          <w:tcPr>
            <w:tcW w:w="22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ЦРДУ</w:t>
            </w:r>
          </w:p>
        </w:tc>
        <w:tc>
          <w:tcPr>
            <w:tcW w:w="19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22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r>
      <w:tr>
        <w:trPr>
          <w:trHeight w:val="1" w:hRule="atLeast"/>
          <w:jc w:val="left"/>
        </w:trPr>
        <w:tc>
          <w:tcPr>
            <w:tcW w:w="26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2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9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2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6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Брой</w:t>
            </w:r>
          </w:p>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потребители</w:t>
            </w:r>
          </w:p>
        </w:tc>
        <w:tc>
          <w:tcPr>
            <w:tcW w:w="22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19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976</w:t>
            </w:r>
          </w:p>
        </w:tc>
        <w:tc>
          <w:tcPr>
            <w:tcW w:w="22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200</w:t>
            </w:r>
          </w:p>
        </w:tc>
      </w:tr>
    </w:tbl>
    <w:p>
      <w:pPr>
        <w:spacing w:before="0" w:after="12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Пловдив</w:t>
      </w:r>
    </w:p>
    <w:p>
      <w:pPr>
        <w:spacing w:before="0" w:after="120" w:line="240"/>
        <w:ind w:right="0" w:left="0" w:firstLine="0"/>
        <w:jc w:val="both"/>
        <w:rPr>
          <w:rFonts w:ascii="Times New Roman" w:hAnsi="Times New Roman" w:cs="Times New Roman" w:eastAsia="Times New Roman"/>
          <w:color w:val="FF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Пловдив е 309 лица.</w:t>
      </w:r>
      <w:r>
        <w:rPr>
          <w:rFonts w:ascii="Times New Roman" w:hAnsi="Times New Roman" w:cs="Times New Roman" w:eastAsia="Times New Roman"/>
          <w:color w:val="FF0000"/>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 услуги:</w:t>
      </w:r>
    </w:p>
    <w:tbl>
      <w:tblPr/>
      <w:tblGrid>
        <w:gridCol w:w="4037"/>
        <w:gridCol w:w="5023"/>
      </w:tblGrid>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129</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ЦНСТПЛД</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37</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Приют</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29</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ЗЖЛПР</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34</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Пловдив,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Пловдив, от други общини е 472.</w:t>
      </w:r>
    </w:p>
    <w:tbl>
      <w:tblPr/>
      <w:tblGrid>
        <w:gridCol w:w="4588"/>
        <w:gridCol w:w="4472"/>
      </w:tblGrid>
      <w:tr>
        <w:trPr>
          <w:trHeight w:val="1" w:hRule="atLeast"/>
          <w:jc w:val="left"/>
        </w:trPr>
        <w:tc>
          <w:tcPr>
            <w:tcW w:w="4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4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44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r>
      <w:tr>
        <w:trPr>
          <w:trHeight w:val="1" w:hRule="atLeast"/>
          <w:jc w:val="left"/>
        </w:trPr>
        <w:tc>
          <w:tcPr>
            <w:tcW w:w="4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ДЦПЛУВТМУ</w:t>
            </w:r>
          </w:p>
        </w:tc>
        <w:tc>
          <w:tcPr>
            <w:tcW w:w="44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r>
        <w:trPr>
          <w:trHeight w:val="1" w:hRule="atLeast"/>
          <w:jc w:val="left"/>
        </w:trPr>
        <w:tc>
          <w:tcPr>
            <w:tcW w:w="4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44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32</w:t>
            </w:r>
          </w:p>
        </w:tc>
      </w:tr>
      <w:tr>
        <w:trPr>
          <w:trHeight w:val="1" w:hRule="atLeast"/>
          <w:jc w:val="left"/>
        </w:trPr>
        <w:tc>
          <w:tcPr>
            <w:tcW w:w="4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ДЦДУППМГ</w:t>
            </w:r>
          </w:p>
        </w:tc>
        <w:tc>
          <w:tcPr>
            <w:tcW w:w="44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r>
        <w:trPr>
          <w:trHeight w:val="1" w:hRule="atLeast"/>
          <w:jc w:val="left"/>
        </w:trPr>
        <w:tc>
          <w:tcPr>
            <w:tcW w:w="4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ДЦДТМУ</w:t>
            </w:r>
          </w:p>
        </w:tc>
        <w:tc>
          <w:tcPr>
            <w:tcW w:w="44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44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r>
      <w:tr>
        <w:trPr>
          <w:trHeight w:val="1" w:hRule="atLeast"/>
          <w:jc w:val="left"/>
        </w:trPr>
        <w:tc>
          <w:tcPr>
            <w:tcW w:w="4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ЗЖПЛУИ</w:t>
            </w:r>
          </w:p>
        </w:tc>
        <w:tc>
          <w:tcPr>
            <w:tcW w:w="44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r>
        <w:trPr>
          <w:trHeight w:val="1" w:hRule="atLeast"/>
          <w:jc w:val="left"/>
        </w:trPr>
        <w:tc>
          <w:tcPr>
            <w:tcW w:w="4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ЗМБ</w:t>
            </w:r>
          </w:p>
        </w:tc>
        <w:tc>
          <w:tcPr>
            <w:tcW w:w="44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r>
      <w:tr>
        <w:trPr>
          <w:trHeight w:val="1" w:hRule="atLeast"/>
          <w:jc w:val="left"/>
        </w:trPr>
        <w:tc>
          <w:tcPr>
            <w:tcW w:w="4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44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170</w:t>
            </w:r>
          </w:p>
        </w:tc>
      </w:tr>
      <w:tr>
        <w:trPr>
          <w:trHeight w:val="1" w:hRule="atLeast"/>
          <w:jc w:val="left"/>
        </w:trPr>
        <w:tc>
          <w:tcPr>
            <w:tcW w:w="4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ЦРДУ</w:t>
            </w:r>
          </w:p>
        </w:tc>
        <w:tc>
          <w:tcPr>
            <w:tcW w:w="44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4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ЦСРИД</w:t>
            </w:r>
          </w:p>
        </w:tc>
        <w:tc>
          <w:tcPr>
            <w:tcW w:w="44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53  </w:t>
            </w:r>
          </w:p>
        </w:tc>
      </w:tr>
      <w:tr>
        <w:trPr>
          <w:trHeight w:val="1" w:hRule="atLeast"/>
          <w:jc w:val="left"/>
        </w:trPr>
        <w:tc>
          <w:tcPr>
            <w:tcW w:w="4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КЦД</w:t>
            </w:r>
          </w:p>
        </w:tc>
        <w:tc>
          <w:tcPr>
            <w:tcW w:w="44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r>
        <w:trPr>
          <w:trHeight w:val="1" w:hRule="atLeast"/>
          <w:jc w:val="left"/>
        </w:trPr>
        <w:tc>
          <w:tcPr>
            <w:tcW w:w="4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44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29</w:t>
            </w:r>
          </w:p>
        </w:tc>
      </w:tr>
      <w:tr>
        <w:trPr>
          <w:trHeight w:val="1" w:hRule="atLeast"/>
          <w:jc w:val="left"/>
        </w:trPr>
        <w:tc>
          <w:tcPr>
            <w:tcW w:w="4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44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r>
        <w:trPr>
          <w:trHeight w:val="1" w:hRule="atLeast"/>
          <w:jc w:val="left"/>
        </w:trPr>
        <w:tc>
          <w:tcPr>
            <w:tcW w:w="4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ПЖ</w:t>
            </w:r>
          </w:p>
        </w:tc>
        <w:tc>
          <w:tcPr>
            <w:tcW w:w="44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4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НЖ</w:t>
            </w:r>
          </w:p>
        </w:tc>
        <w:tc>
          <w:tcPr>
            <w:tcW w:w="44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4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44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1" w:hRule="atLeast"/>
          <w:jc w:val="left"/>
        </w:trPr>
        <w:tc>
          <w:tcPr>
            <w:tcW w:w="4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44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Приют</w:t>
            </w:r>
          </w:p>
        </w:tc>
        <w:tc>
          <w:tcPr>
            <w:tcW w:w="44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r>
      <w:tr>
        <w:trPr>
          <w:trHeight w:val="1" w:hRule="atLeast"/>
          <w:jc w:val="left"/>
        </w:trPr>
        <w:tc>
          <w:tcPr>
            <w:tcW w:w="4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ЦНСТПЛД</w:t>
            </w:r>
          </w:p>
        </w:tc>
        <w:tc>
          <w:tcPr>
            <w:tcW w:w="44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r>
        <w:trPr>
          <w:trHeight w:val="1" w:hRule="atLeast"/>
          <w:jc w:val="left"/>
        </w:trPr>
        <w:tc>
          <w:tcPr>
            <w:tcW w:w="4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44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4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ЦСРИЛ</w:t>
            </w:r>
          </w:p>
        </w:tc>
        <w:tc>
          <w:tcPr>
            <w:tcW w:w="44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69</w:t>
            </w:r>
          </w:p>
        </w:tc>
      </w:tr>
      <w:tr>
        <w:trPr>
          <w:trHeight w:val="1" w:hRule="atLeast"/>
          <w:jc w:val="left"/>
        </w:trPr>
        <w:tc>
          <w:tcPr>
            <w:tcW w:w="4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ЦНСТДМУППМГ</w:t>
            </w:r>
          </w:p>
        </w:tc>
        <w:tc>
          <w:tcPr>
            <w:tcW w:w="44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Пловдив за последните 5 години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Териториалния обхват на община Пловдив съставлява 2,5% от територията на страната. Общината е със 100% урбанизираност на населението. Заедно с естествения прираст и механична миграция на населението, от една страна и добре развитата диверсифицирана икономика с повишен ръст на инвестициите, от друга, са налице достатъчно предпоставки за запазване позицията на Пловдив като водещ индустриален център в страната. Инфраструктурата на града има стратегическо местоположение и отличната свързаност, регион Пловдив се е утвърдил като водещ транспортен и логистичен център, включително и в регионалната икономика. </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Населението на община Пловдив, към 30.10.2022 г., наброява 368 763 души, като се регистрира повишение спрямо предходните години. През последните години се наблюдава устойчива тенденция към увеличаване на населението от малките населени места към гр. Пловдив.</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Механичното движение на популацията в следващото десетилетие ще продължи да е основната причина за повишаване на броя на населението на общината. Очаква се градът да запазва и надгражда националното си значение като притегателен център, към който се насочва популация, с цел образование, работа и впоследствие уседналост.  </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статистическите данни е видно, че отрицателния естествен прираст на населението плавно се обостря, като причина за това е устойчивият темп на редуциране на раждаемост и по-високият брой починали, въпреки относителната стабилност на показателите в изследвания период.</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Естественият прираст на населението бележи спад от средно -582,5 души на година, като през нито една от разглежданите години не е отчетен положителен прираст. Средното съотношение между раждаемост и смъртност в града, за изследвания период, е 3 471 живородени деца, срещу 4 053,5 починали жители. </w:t>
      </w:r>
    </w:p>
    <w:p>
      <w:pPr>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p>
    <w:p>
      <w:pPr>
        <w:tabs>
          <w:tab w:val="left" w:pos="709" w:leader="none"/>
        </w:tabs>
        <w:suppressAutoHyphens w:val="true"/>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Раждаемостта в Пловдив регистрира понижение, но то не преминава психологическата граница под 3000 живородени деца.</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в община Пловдив са обезпечени с кадри необходими за предоставянето им. Ключово е постигането на достатъчно ресурси от специалисти за посрещане и на най-специфичните потребности на населението и особено на най-уязвимите от тях. След трансформиране на услугите, съгласно Наредбата за качество на социалните услуги ще е необходимо да се увеличат щатните бройки в почти всички услуги, спрямо ново определените им капацитети по чл.15 от ЗСУ. </w:t>
      </w:r>
    </w:p>
    <w:p>
      <w:pPr>
        <w:keepNext w:val="true"/>
        <w:tabs>
          <w:tab w:val="left" w:pos="862" w:leader="none"/>
        </w:tabs>
        <w:spacing w:before="0" w:after="12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ПЪРВОМАЙ</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за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Първомай информацията за населението по настоящ адрес е получена от общинска администрация, ГРАО, ДСП-Първомай, РЗИ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Пловдив, РУО-Пловдив,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Пловдив, НОИ, НСИ и НПО.</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Първомай е 26 956 жители, от тях 4 519 деца до 18-годишна възраст. Общия брой на лицата с трайни увреждания е 3 163, от тях деца 95.</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2"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Първомай са разкрити 5 социални услуги, които се предоставят в гр. Първомай. Общият капацитет на социалните услуги е за 248 потребители, в т.ч. 100 асистентска подкрепа.</w:t>
      </w:r>
    </w:p>
    <w:tbl>
      <w:tblPr/>
      <w:tblGrid>
        <w:gridCol w:w="1842"/>
        <w:gridCol w:w="1348"/>
        <w:gridCol w:w="1555"/>
        <w:gridCol w:w="1459"/>
        <w:gridCol w:w="1107"/>
        <w:gridCol w:w="1749"/>
      </w:tblGrid>
      <w:tr>
        <w:trPr>
          <w:trHeight w:val="1" w:hRule="atLeast"/>
          <w:jc w:val="left"/>
        </w:trPr>
        <w:tc>
          <w:tcPr>
            <w:tcW w:w="18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z w:val="22"/>
                <w:shd w:fill="auto" w:val="clear"/>
              </w:rPr>
            </w:pPr>
          </w:p>
        </w:tc>
        <w:tc>
          <w:tcPr>
            <w:tcW w:w="13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ЦОП</w:t>
            </w:r>
          </w:p>
        </w:tc>
        <w:tc>
          <w:tcPr>
            <w:tcW w:w="155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ЦНСТДБУ</w:t>
            </w:r>
          </w:p>
        </w:tc>
        <w:tc>
          <w:tcPr>
            <w:tcW w:w="14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АП</w:t>
            </w:r>
          </w:p>
        </w:tc>
        <w:tc>
          <w:tcPr>
            <w:tcW w:w="11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ЦСРИ</w:t>
            </w:r>
          </w:p>
        </w:tc>
        <w:tc>
          <w:tcPr>
            <w:tcW w:w="17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ЦНСТПЛД</w:t>
            </w:r>
          </w:p>
        </w:tc>
      </w:tr>
      <w:tr>
        <w:trPr>
          <w:trHeight w:val="1" w:hRule="atLeast"/>
          <w:jc w:val="left"/>
        </w:trPr>
        <w:tc>
          <w:tcPr>
            <w:tcW w:w="18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Брой СУ</w:t>
            </w:r>
          </w:p>
        </w:tc>
        <w:tc>
          <w:tcPr>
            <w:tcW w:w="13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55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4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1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7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r>
      <w:tr>
        <w:trPr>
          <w:trHeight w:val="1" w:hRule="atLeast"/>
          <w:jc w:val="left"/>
        </w:trPr>
        <w:tc>
          <w:tcPr>
            <w:tcW w:w="18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Брой потребители</w:t>
            </w:r>
          </w:p>
        </w:tc>
        <w:tc>
          <w:tcPr>
            <w:tcW w:w="13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50</w:t>
            </w:r>
          </w:p>
        </w:tc>
        <w:tc>
          <w:tcPr>
            <w:tcW w:w="155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14</w:t>
            </w:r>
          </w:p>
        </w:tc>
        <w:tc>
          <w:tcPr>
            <w:tcW w:w="14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100</w:t>
            </w:r>
          </w:p>
        </w:tc>
        <w:tc>
          <w:tcPr>
            <w:tcW w:w="11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30</w:t>
            </w:r>
          </w:p>
        </w:tc>
        <w:tc>
          <w:tcPr>
            <w:tcW w:w="17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14</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Първомай</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Първомай е 21 лица. По услуги:</w:t>
      </w: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567"/>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567"/>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567"/>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567"/>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21</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Първомай, различна от общината по настоящ адрес</w:t>
      </w:r>
    </w:p>
    <w:p>
      <w:pPr>
        <w:spacing w:before="0" w:after="12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лице от друга община ползва социална услуга на територията на община Първомай. </w:t>
      </w:r>
    </w:p>
    <w:p>
      <w:pPr>
        <w:spacing w:before="0" w:after="120" w:line="240"/>
        <w:ind w:right="0" w:left="0" w:firstLine="708"/>
        <w:jc w:val="both"/>
        <w:rPr>
          <w:rFonts w:ascii="Times New Roman" w:hAnsi="Times New Roman" w:cs="Times New Roman" w:eastAsia="Times New Roman"/>
          <w:color w:val="auto"/>
          <w:spacing w:val="0"/>
          <w:position w:val="0"/>
          <w:sz w:val="24"/>
          <w:shd w:fill="auto" w:val="clear"/>
        </w:rPr>
      </w:pPr>
    </w:p>
    <w:tbl>
      <w:tblPr/>
      <w:tblGrid>
        <w:gridCol w:w="3439"/>
        <w:gridCol w:w="5621"/>
      </w:tblGrid>
      <w:tr>
        <w:trPr>
          <w:trHeight w:val="1" w:hRule="atLeast"/>
          <w:jc w:val="left"/>
        </w:trPr>
        <w:tc>
          <w:tcPr>
            <w:tcW w:w="34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56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34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56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Първомай за последните 5 години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Графиката показва, постепенно намаление на общия брой на населението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средно с около 440 човека на година, като този процес е по-изразен в селата. В следствие на по-високи нива на смъртността и по-ниски на раждаемостта се формира отрицателен естествен прираст.</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Налице е тенденция на застаряване на населението и намаляване на относителния дял на населението в трудоспособна възраст.</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в община Първомай са обезпечени с кадри необходими за предоставянето им.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След приемане на Националната карта на социалните услуги ще е необходимо да се увеличат щатните бройки в почти всички съществуващи такива, спрямо ново определените им капацитети по чл.15 от ЗСУ. </w:t>
      </w:r>
    </w:p>
    <w:p>
      <w:pPr>
        <w:keepNext w:val="true"/>
        <w:tabs>
          <w:tab w:val="left" w:pos="862" w:leader="none"/>
        </w:tabs>
        <w:spacing w:before="0" w:after="12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РАКОВСКИ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за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Раковски информацията за населението по настоящ адрес е получена от НСИ, РУО-Пловдив, ДСП-Раковски, ДБТ-Раковски, МБАЛ-Раковски и общинска администрация.</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Раковски е 25 326 жители, от тях 5 321 деца до 18-годишна възраст. Общия брой на лицата с трайни увреждания е 2 251, от тях деца 122.</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2"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Раковски са разкрити 4 социални услуги, които се предоставят в гр. Раковски. Общият капацитет на социалните услуги е за 186 потребители, в т.ч. 69 асистентска подкрепа.</w:t>
      </w:r>
    </w:p>
    <w:tbl>
      <w:tblPr/>
      <w:tblGrid>
        <w:gridCol w:w="2395"/>
        <w:gridCol w:w="1653"/>
        <w:gridCol w:w="1810"/>
        <w:gridCol w:w="1917"/>
        <w:gridCol w:w="1285"/>
      </w:tblGrid>
      <w:tr>
        <w:trPr>
          <w:trHeight w:val="1" w:hRule="atLeast"/>
          <w:jc w:val="left"/>
        </w:trPr>
        <w:tc>
          <w:tcPr>
            <w:tcW w:w="23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z w:val="22"/>
                <w:shd w:fill="auto" w:val="clear"/>
              </w:rPr>
            </w:pPr>
          </w:p>
        </w:tc>
        <w:tc>
          <w:tcPr>
            <w:tcW w:w="165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ЦОП</w:t>
            </w:r>
          </w:p>
        </w:tc>
        <w:tc>
          <w:tcPr>
            <w:tcW w:w="18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ЦНСТДБУ</w:t>
            </w:r>
          </w:p>
        </w:tc>
        <w:tc>
          <w:tcPr>
            <w:tcW w:w="19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ЦСРИЛ</w:t>
            </w:r>
          </w:p>
        </w:tc>
        <w:tc>
          <w:tcPr>
            <w:tcW w:w="12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АП</w:t>
            </w:r>
          </w:p>
        </w:tc>
      </w:tr>
      <w:tr>
        <w:trPr>
          <w:trHeight w:val="1" w:hRule="atLeast"/>
          <w:jc w:val="left"/>
        </w:trPr>
        <w:tc>
          <w:tcPr>
            <w:tcW w:w="23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Брой СУ</w:t>
            </w:r>
          </w:p>
        </w:tc>
        <w:tc>
          <w:tcPr>
            <w:tcW w:w="165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8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9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2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r>
      <w:tr>
        <w:trPr>
          <w:trHeight w:val="1" w:hRule="atLeast"/>
          <w:jc w:val="left"/>
        </w:trPr>
        <w:tc>
          <w:tcPr>
            <w:tcW w:w="23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Брой потребители</w:t>
            </w:r>
          </w:p>
        </w:tc>
        <w:tc>
          <w:tcPr>
            <w:tcW w:w="165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57</w:t>
            </w:r>
          </w:p>
        </w:tc>
        <w:tc>
          <w:tcPr>
            <w:tcW w:w="18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10</w:t>
            </w:r>
          </w:p>
        </w:tc>
        <w:tc>
          <w:tcPr>
            <w:tcW w:w="19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50</w:t>
            </w:r>
          </w:p>
        </w:tc>
        <w:tc>
          <w:tcPr>
            <w:tcW w:w="12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69</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Раковски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Раковски е 9 лица.  По услуги:</w:t>
      </w: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Раковски,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Лицата от други общини, които ползват социални услуги на територията на община Раковски са 12. </w:t>
      </w:r>
    </w:p>
    <w:tbl>
      <w:tblPr/>
      <w:tblGrid>
        <w:gridCol w:w="3369"/>
        <w:gridCol w:w="5691"/>
      </w:tblGrid>
      <w:tr>
        <w:trPr>
          <w:trHeight w:val="1" w:hRule="atLeast"/>
          <w:jc w:val="left"/>
        </w:trPr>
        <w:tc>
          <w:tcPr>
            <w:tcW w:w="336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56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336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56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r>
        <w:trPr>
          <w:trHeight w:val="1" w:hRule="atLeast"/>
          <w:jc w:val="left"/>
        </w:trPr>
        <w:tc>
          <w:tcPr>
            <w:tcW w:w="336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56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Раковски за последните 5 години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Графиката показва, че за последните 5 години общия брой на населението в общината е сравнително устойчив като показател. Констатирано е устойчиво равнище на раждаемостта, но въпреки това не се компенсират по-високите стойностите на смъртността и се формира отрицателен естествен прираст.</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социалните услуги, на територията на общината е нает необходимият персонал за осигуряване на грижа за потребителите на услугите.</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Редовно се провеждат обучения за повишаване на професионалните умения и квалификация на служителите и ръководителите на социалните услуги, като се включват в обучения и супервизии за професионалната им подкрепа, което е предпоставка за подобряване на ефективността на предоставяните услуги.</w:t>
      </w:r>
    </w:p>
    <w:p>
      <w:pPr>
        <w:keepNext w:val="true"/>
        <w:tabs>
          <w:tab w:val="left" w:pos="862" w:leader="none"/>
        </w:tabs>
        <w:spacing w:before="0" w:after="12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РОДОПИ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Родопи информацията за населението по настоящ адрес е получена от ДСП-Родопи, РУО-Пловдив, РЗИ-Пловдив,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Пловдив, ГРАО, МКБППМН,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Детска педагогическа стая“, НПО и социални услуги в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Родопи е 33 488 жители, от тях деца до 18-годишна възраст 6 177. Общия брой на лицата с трайни увреждания е 3 222, от тях деца 113.</w:t>
      </w:r>
    </w:p>
    <w:p>
      <w:pPr>
        <w:spacing w:before="0" w:after="120" w:line="240"/>
        <w:ind w:right="48" w:left="0" w:firstLine="0"/>
        <w:jc w:val="both"/>
        <w:rPr>
          <w:rFonts w:ascii="Times New Roman" w:hAnsi="Times New Roman" w:cs="Times New Roman" w:eastAsia="Times New Roman"/>
          <w:color w:val="000000"/>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Родопи е разкрита само социалната услуга Асистентска подкрепа със 101 потребители и е с адрес на предоставяне - гр. Пловдив. </w:t>
      </w:r>
    </w:p>
    <w:p>
      <w:pPr>
        <w:spacing w:before="0" w:after="120" w:line="240"/>
        <w:ind w:right="0" w:left="-426" w:firstLine="426"/>
        <w:jc w:val="right"/>
        <w:rPr>
          <w:rFonts w:ascii="Times New Roman" w:hAnsi="Times New Roman" w:cs="Times New Roman" w:eastAsia="Times New Roman"/>
          <w:color w:val="auto"/>
          <w:spacing w:val="0"/>
          <w:position w:val="0"/>
          <w:sz w:val="24"/>
          <w:shd w:fill="auto" w:val="clear"/>
        </w:rPr>
      </w:pPr>
    </w:p>
    <w:tbl>
      <w:tblPr/>
      <w:tblGrid>
        <w:gridCol w:w="5438"/>
        <w:gridCol w:w="3622"/>
      </w:tblGrid>
      <w:tr>
        <w:trPr>
          <w:trHeight w:val="1" w:hRule="atLeast"/>
          <w:jc w:val="left"/>
        </w:trPr>
        <w:tc>
          <w:tcPr>
            <w:tcW w:w="54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426"/>
              <w:jc w:val="left"/>
              <w:rPr>
                <w:rFonts w:ascii="Calibri" w:hAnsi="Calibri" w:cs="Calibri" w:eastAsia="Calibri"/>
                <w:color w:val="auto"/>
                <w:spacing w:val="0"/>
                <w:position w:val="0"/>
                <w:sz w:val="22"/>
                <w:shd w:fill="auto" w:val="clear"/>
              </w:rPr>
            </w:pPr>
          </w:p>
        </w:tc>
        <w:tc>
          <w:tcPr>
            <w:tcW w:w="36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426"/>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АП</w:t>
            </w:r>
          </w:p>
        </w:tc>
      </w:tr>
      <w:tr>
        <w:trPr>
          <w:trHeight w:val="1" w:hRule="atLeast"/>
          <w:jc w:val="left"/>
        </w:trPr>
        <w:tc>
          <w:tcPr>
            <w:tcW w:w="54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Брой СУ</w:t>
            </w:r>
          </w:p>
        </w:tc>
        <w:tc>
          <w:tcPr>
            <w:tcW w:w="36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426"/>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r>
      <w:tr>
        <w:trPr>
          <w:trHeight w:val="1" w:hRule="atLeast"/>
          <w:jc w:val="left"/>
        </w:trPr>
        <w:tc>
          <w:tcPr>
            <w:tcW w:w="54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Брой потребители</w:t>
            </w:r>
          </w:p>
        </w:tc>
        <w:tc>
          <w:tcPr>
            <w:tcW w:w="36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813" w:leader="none"/>
              </w:tabs>
              <w:spacing w:before="0" w:after="120" w:line="240"/>
              <w:ind w:right="0" w:left="0" w:firstLine="426"/>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101</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Родопи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желаещи да ползват социални услуги на територията на община Родопи.  </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Родопи,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Родопи няма лица от други населени места, желаещи да ползват социални услуги.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Родопи за последните 5 години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 </w:t>
      </w:r>
      <w:r>
        <w:rPr>
          <w:rFonts w:ascii="Times New Roman" w:hAnsi="Times New Roman" w:cs="Times New Roman" w:eastAsia="Times New Roman"/>
          <w:color w:val="auto"/>
          <w:spacing w:val="0"/>
          <w:position w:val="0"/>
          <w:sz w:val="24"/>
          <w:shd w:fill="auto" w:val="clear"/>
        </w:rPr>
        <w:t xml:space="preserve">от 21 населени места в общината са планински и слабо заселени. Останалите селища са атрактивни и привлекателни за живеене, като се наблюдава подмладяване и увеличаване относителния дял на жителите в трудоспособна възраст. Въпреки икономическите предпоставки, населението в трудоспособна възраст е с близки стойности до средните за страната.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Констатирано е устойчиво равнище на раждаемостта, но въпреки това не се компенсират по-високите стойностите на смъртността и се формира отрицателен естествен прираст, особено след влиянието на пандемията от Ковид 19. </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предоставените данни за наличните социални услуги на територията на община Родопи е видно, че те са обезпечени със служители, необходими за предоставяне на съответните услуги.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След трансформиране на услугите, съгласно Наредбата за качество на социалните услуги ще е необходимо да се увеличат щатните бройки в почти всички услуги, спрямо ново определените им капацитети по чл.15 от ЗСУ. </w:t>
      </w:r>
    </w:p>
    <w:p>
      <w:pPr>
        <w:keepNext w:val="true"/>
        <w:tabs>
          <w:tab w:val="left" w:pos="862" w:leader="none"/>
        </w:tabs>
        <w:spacing w:before="0" w:after="12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САДОВО</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за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Садово информацията за населението по настоящ адрес е получена от НСИ, ДСП-Първомай, ДБТ-Първомай, ГРАО и социални услуги в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Садово е 14 892 жители, от тях 2 662 деца до 18-годишна възраст. Общия брой на лицата с трайни увреждания е 1 513, от тях деца 144.</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2"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Садово са разкрити 4 социални услуги, от тях 2 се предоставят в гр. Садово, 1 в с. Болярци и 1 в с. Ахматово. Общият капацитет на социалните услуги е за 106 потребители, в т.ч. 44 асистентска подкрепа.</w:t>
      </w:r>
    </w:p>
    <w:tbl>
      <w:tblPr/>
      <w:tblGrid>
        <w:gridCol w:w="2396"/>
        <w:gridCol w:w="1643"/>
        <w:gridCol w:w="1634"/>
        <w:gridCol w:w="2111"/>
        <w:gridCol w:w="1276"/>
      </w:tblGrid>
      <w:tr>
        <w:trPr>
          <w:trHeight w:val="1" w:hRule="atLeast"/>
          <w:jc w:val="left"/>
        </w:trPr>
        <w:tc>
          <w:tcPr>
            <w:tcW w:w="23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z w:val="22"/>
                <w:shd w:fill="auto" w:val="clear"/>
              </w:rPr>
            </w:pPr>
          </w:p>
        </w:tc>
        <w:tc>
          <w:tcPr>
            <w:tcW w:w="16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ЦОП</w:t>
            </w:r>
          </w:p>
        </w:tc>
        <w:tc>
          <w:tcPr>
            <w:tcW w:w="16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ЦСРИЛ</w:t>
            </w:r>
          </w:p>
        </w:tc>
        <w:tc>
          <w:tcPr>
            <w:tcW w:w="21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ЦНСТПЛУИ</w:t>
            </w:r>
          </w:p>
        </w:tc>
        <w:tc>
          <w:tcPr>
            <w:tcW w:w="1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АП</w:t>
            </w:r>
          </w:p>
        </w:tc>
      </w:tr>
      <w:tr>
        <w:trPr>
          <w:trHeight w:val="1" w:hRule="atLeast"/>
          <w:jc w:val="left"/>
        </w:trPr>
        <w:tc>
          <w:tcPr>
            <w:tcW w:w="23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Брой СУ</w:t>
            </w:r>
          </w:p>
        </w:tc>
        <w:tc>
          <w:tcPr>
            <w:tcW w:w="16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6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21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r>
      <w:tr>
        <w:trPr>
          <w:trHeight w:val="1" w:hRule="atLeast"/>
          <w:jc w:val="left"/>
        </w:trPr>
        <w:tc>
          <w:tcPr>
            <w:tcW w:w="23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Брой потребители</w:t>
            </w:r>
          </w:p>
        </w:tc>
        <w:tc>
          <w:tcPr>
            <w:tcW w:w="16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30</w:t>
            </w:r>
          </w:p>
        </w:tc>
        <w:tc>
          <w:tcPr>
            <w:tcW w:w="16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20</w:t>
            </w:r>
          </w:p>
        </w:tc>
        <w:tc>
          <w:tcPr>
            <w:tcW w:w="21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12</w:t>
            </w:r>
          </w:p>
        </w:tc>
        <w:tc>
          <w:tcPr>
            <w:tcW w:w="1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44</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Садово</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Садово е 16 лица. По услуги:</w:t>
      </w: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Садово,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Лицата от други общини, които ползват социални услуги на територията на община Садово са 7. </w:t>
      </w:r>
    </w:p>
    <w:tbl>
      <w:tblPr/>
      <w:tblGrid>
        <w:gridCol w:w="3182"/>
        <w:gridCol w:w="5878"/>
      </w:tblGrid>
      <w:tr>
        <w:trPr>
          <w:trHeight w:val="1" w:hRule="atLeast"/>
          <w:jc w:val="left"/>
        </w:trPr>
        <w:tc>
          <w:tcPr>
            <w:tcW w:w="318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587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318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587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Садово за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Намаляването на населението на общината се дължи на отрицателния естествен прираст (по-ниската раждаемост и по-високите нива на смъртност) и външна миграцията, което е следствие на националните тенденции и местните характеристики на икономиката. Съществен проблем по отношение устойчивото развитие на общината е струпването на населението в по-привлекателните райони и все по-бързото обезлюдяване на по-слабо развитите.</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През последните пет години е регистриран по-голям брой на жените спрямо мъжете. Разглеждайки динамиката на раждаемостта е видно, че този показател се запазва и повишава. По отношение възрастовата структура на населението, проблемите, касаещи застаряването му, ще се задълбочават, независимо от слабата положителна тенденция. През периода се наблюдава по-голям брой на заселени спрямо изселени. Въпреки това не може да се очаква стабилно запазване или нарастване на населението на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 количествените изменения в броя на населението, за формирането на трудовите ресурси, за тяхното разпределение и преразпределение на територията на областта съществено значение има развитието на миграционните процеси. В община Садово е характерна сезонна трудова миграция, свързана със потребността на селскостопанското производство от нискоквалифицирана работна сила.</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социалните услуги, на територията на общината е нает необходимият персонал за осигуряване на грижа за потребителите на услугите.</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Редовно се провеждат обучения за повишаване на професионалните умения и квалификация на служителите и ръководителите на социалните услуги, като се включват в обучения и супервизии за професионалната им подкрепа, което е предпоставка за подобряване на ефективността на предоставяните услуги.</w:t>
      </w:r>
    </w:p>
    <w:p>
      <w:pPr>
        <w:keepNext w:val="true"/>
        <w:tabs>
          <w:tab w:val="left" w:pos="862" w:leader="none"/>
        </w:tabs>
        <w:spacing w:before="0" w:after="12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СОПОТ</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за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Сопот информацията за населението по настоящ адрес е получена от ДСП-Карлово,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Карлово, общинска администрация, ГРАО, РУО-Пловдив, МКБППМН, РУ</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Карлово,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Детска педагогическа стая“, НСИ, НПО, болници, образователни институции и социални услуги в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Сопот е 8 921 жители, от тях 1 279 деца до 18-годишна възраст. Общия брой на лицата с трайни увреждания е 1 108, от тях деца 32.</w:t>
      </w:r>
    </w:p>
    <w:p>
      <w:pPr>
        <w:spacing w:before="0" w:after="12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2"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Сопот са разкрити 4 социални услуги, които се предоставят в гр. Сопот. Общият капацитет на социалните услуги е за 111 потребители, в т.ч. 31 асистентска подкрепа.</w:t>
      </w:r>
    </w:p>
    <w:tbl>
      <w:tblPr/>
      <w:tblGrid>
        <w:gridCol w:w="2394"/>
        <w:gridCol w:w="1823"/>
        <w:gridCol w:w="1665"/>
        <w:gridCol w:w="1857"/>
        <w:gridCol w:w="1321"/>
      </w:tblGrid>
      <w:tr>
        <w:trPr>
          <w:trHeight w:val="1" w:hRule="atLeast"/>
          <w:jc w:val="left"/>
        </w:trPr>
        <w:tc>
          <w:tcPr>
            <w:tcW w:w="23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z w:val="22"/>
                <w:shd w:fill="auto" w:val="clear"/>
              </w:rPr>
            </w:pPr>
          </w:p>
        </w:tc>
        <w:tc>
          <w:tcPr>
            <w:tcW w:w="18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ДЦДМУ</w:t>
            </w:r>
          </w:p>
        </w:tc>
        <w:tc>
          <w:tcPr>
            <w:tcW w:w="16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ДЦПЛУ</w:t>
            </w:r>
          </w:p>
        </w:tc>
        <w:tc>
          <w:tcPr>
            <w:tcW w:w="18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ЦОП</w:t>
            </w:r>
          </w:p>
        </w:tc>
        <w:tc>
          <w:tcPr>
            <w:tcW w:w="13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АП</w:t>
            </w:r>
          </w:p>
        </w:tc>
      </w:tr>
      <w:tr>
        <w:trPr>
          <w:trHeight w:val="1" w:hRule="atLeast"/>
          <w:jc w:val="left"/>
        </w:trPr>
        <w:tc>
          <w:tcPr>
            <w:tcW w:w="23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Брой СУ</w:t>
            </w:r>
          </w:p>
        </w:tc>
        <w:tc>
          <w:tcPr>
            <w:tcW w:w="18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6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8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3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r>
      <w:tr>
        <w:trPr>
          <w:trHeight w:val="1" w:hRule="atLeast"/>
          <w:jc w:val="left"/>
        </w:trPr>
        <w:tc>
          <w:tcPr>
            <w:tcW w:w="23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Брой потребители</w:t>
            </w:r>
          </w:p>
        </w:tc>
        <w:tc>
          <w:tcPr>
            <w:tcW w:w="18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30</w:t>
            </w:r>
          </w:p>
        </w:tc>
        <w:tc>
          <w:tcPr>
            <w:tcW w:w="16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20</w:t>
            </w:r>
          </w:p>
        </w:tc>
        <w:tc>
          <w:tcPr>
            <w:tcW w:w="18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30</w:t>
            </w:r>
          </w:p>
        </w:tc>
        <w:tc>
          <w:tcPr>
            <w:tcW w:w="13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31</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Сопот</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желаещи да ползват социални услуги на територията на община Сопот. </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Сопот,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Лицата от други общини, които ползват социални услуги на територията на община Сопот са 42. </w:t>
      </w:r>
    </w:p>
    <w:tbl>
      <w:tblPr/>
      <w:tblGrid>
        <w:gridCol w:w="3182"/>
        <w:gridCol w:w="5878"/>
      </w:tblGrid>
      <w:tr>
        <w:trPr>
          <w:trHeight w:val="1" w:hRule="atLeast"/>
          <w:jc w:val="left"/>
        </w:trPr>
        <w:tc>
          <w:tcPr>
            <w:tcW w:w="318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587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318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587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r>
        <w:trPr>
          <w:trHeight w:val="1" w:hRule="atLeast"/>
          <w:jc w:val="left"/>
        </w:trPr>
        <w:tc>
          <w:tcPr>
            <w:tcW w:w="318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587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r>
      <w:tr>
        <w:trPr>
          <w:trHeight w:val="1" w:hRule="atLeast"/>
          <w:jc w:val="left"/>
        </w:trPr>
        <w:tc>
          <w:tcPr>
            <w:tcW w:w="318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587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Сопот за последните 5 години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Сопот е една от малките по територия и население общини в страната. Въпреки че двете селища - гр. Сопот и с. Анево в общината, имат минимални различия в динамиката на демографското развитие, ясно е очертана трайната тенденция за обезлюдяване и застаряване на населението.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Раждаемостта е по-ниска в сравнение със смъртността поради, което е наличен отрицателен прираст, но по-сериозен проблем представлява механичния прираст. Емигрирането на млади и образовани хора има икономически и социални последици за бъдещото развитие на общината. Тенденцията ще доведе до ограничаването на работната сила и възпроизводствения потенциал в дългосрочен период.</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момента делът на населението в надтрудоспособна възраст в общината е под средния за страната и има по-висок дял на лица в под трудоспособна възраст в сравнение със средния за страната, който е достатъчен за бъдещото формиране на трудовия контингент. Този факт създава известно предимство на общината по отношение на наличните човешки ресурси. </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социалните услуги, на територията на общината е нает необходимият персонал за осигуряване на качествена грижа за потребителите на услугите.</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Редовно се провеждат обучения за повишаване на професионалните умения и квалификация на служителите и ръководителите на социалните услуги, като се включват в обучения и супервизии за професионалната им подкрепа, което е предпоставка за подобряване на ефективността на предоставяните услуги.</w:t>
      </w:r>
    </w:p>
    <w:p>
      <w:pPr>
        <w:keepNext w:val="true"/>
        <w:tabs>
          <w:tab w:val="left" w:pos="862" w:leader="none"/>
        </w:tabs>
        <w:spacing w:before="0" w:after="12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СТАМБОЛИЙСКИ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за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Стамболийски информацията за населението по настоящ адрес е получена от НСИ, МОН, РЗИ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Пловдив, общинска администрация,  ДСП-Стамболийски, ДБТ-Родопи, РЗИ-Пловдив, МВР-Пловдив и МКБППМН.</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Стамболийски е 19 509 жители, от тях 3 386 деца до 18-годишна възраст. Общия брой на лицата с трайни увреждания е 2 028, от тях деца 81.</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2"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Стамболийски са разкрити 2 социални услуги, които се предоставят в гр. Стамболийски. Общият капацитет на социалните услуги е за 74 потребители, в т.ч. 60 асистентска подкрепа.</w:t>
      </w:r>
    </w:p>
    <w:tbl>
      <w:tblPr/>
      <w:tblGrid>
        <w:gridCol w:w="3624"/>
        <w:gridCol w:w="2848"/>
        <w:gridCol w:w="2588"/>
      </w:tblGrid>
      <w:tr>
        <w:trPr>
          <w:trHeight w:val="1" w:hRule="atLeast"/>
          <w:jc w:val="left"/>
        </w:trPr>
        <w:tc>
          <w:tcPr>
            <w:tcW w:w="36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z w:val="22"/>
                <w:shd w:fill="auto" w:val="clear"/>
              </w:rPr>
            </w:pPr>
          </w:p>
        </w:tc>
        <w:tc>
          <w:tcPr>
            <w:tcW w:w="28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ЦНСТДМУ</w:t>
            </w:r>
          </w:p>
        </w:tc>
        <w:tc>
          <w:tcPr>
            <w:tcW w:w="2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АП</w:t>
            </w:r>
          </w:p>
        </w:tc>
      </w:tr>
      <w:tr>
        <w:trPr>
          <w:trHeight w:val="1" w:hRule="atLeast"/>
          <w:jc w:val="left"/>
        </w:trPr>
        <w:tc>
          <w:tcPr>
            <w:tcW w:w="36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Брой СУ</w:t>
            </w:r>
          </w:p>
        </w:tc>
        <w:tc>
          <w:tcPr>
            <w:tcW w:w="28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2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r>
      <w:tr>
        <w:trPr>
          <w:trHeight w:val="1" w:hRule="atLeast"/>
          <w:jc w:val="left"/>
        </w:trPr>
        <w:tc>
          <w:tcPr>
            <w:tcW w:w="36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Брой потребители</w:t>
            </w:r>
          </w:p>
        </w:tc>
        <w:tc>
          <w:tcPr>
            <w:tcW w:w="28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14</w:t>
            </w:r>
          </w:p>
        </w:tc>
        <w:tc>
          <w:tcPr>
            <w:tcW w:w="2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60</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Стамболийски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желаещи да ползват социални услуги на територията на община Стамболийски. </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Стамболийски,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Лицата от други общини, които ползват социални услуги на територията на община Стамболийски са 14. </w:t>
      </w:r>
    </w:p>
    <w:tbl>
      <w:tblPr/>
      <w:tblGrid>
        <w:gridCol w:w="3182"/>
        <w:gridCol w:w="5878"/>
      </w:tblGrid>
      <w:tr>
        <w:trPr>
          <w:trHeight w:val="1" w:hRule="atLeast"/>
          <w:jc w:val="left"/>
        </w:trPr>
        <w:tc>
          <w:tcPr>
            <w:tcW w:w="318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587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318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587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Стамболийски за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426" w:leader="none"/>
          <w:tab w:val="left" w:pos="3894" w:leader="none"/>
        </w:tabs>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Общината се състои от 4 села и 1 град - Стамболийски, в който живее основния дял от населението и е него е съсредоточен основния икономически потенциал. Отрасловата характеристика на икономиката на община Стамболийски се доминира от дейностите, свързани с преработващата промишленост, търговията и транспорта, включително и селското стопанство. През последните години се наблюдава тенденция към намаление на населението, която се очаква да се запази. Налице е отрицателен естествен прираст. Графиката показва постепенно завишаване на смъртността и намаление на раждаемостта. Освен чисто икономически фактори, влияние оказва намаляващия дял на родилния контингент. За разлика от страната, процесът на застаряване все още не е толкова остро изразен в общината. От икономическа гледна точка, настоящият профил на възрастова структура се характеризира с натрупване на хора в работоспособна възраст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между 68-70% от населението на общината. Въпреки това, бавното, но сигурно нарастване на броя и дела на възрастните хора ще постави сериозни предизвикателства пред системата на здравеопазване и социалните услуги. </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социалните услуги, на територията на общината е нает необходимият персонал за осигуряване на добра грижа за потребителите на услугите. Служителите трябва да са не само обучени, но да продължават да се обучават постоянно, за да се надграждат знанията и уменията им и да предоставят добро качество на социалните услуги, за да има ефективност от тяхната работата.    </w:t>
      </w:r>
    </w:p>
    <w:p>
      <w:pPr>
        <w:keepNext w:val="true"/>
        <w:tabs>
          <w:tab w:val="left" w:pos="862" w:leader="none"/>
        </w:tabs>
        <w:spacing w:before="0" w:after="12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СЪЕДИНЕНИЕ</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за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Съединение информацията за населението по настоящ адрес е получена от МОН, РЗОК, общинска администрация, ДБТ- Съединение, ГРАО, ДСП-Марица, МКБППМН, РУ на МВР-Пловдив, образователни институции, болници и НПО. Общият брой на населението на община Съединение е 9 892 жители, от тях 1 354 деца до 18-годишна възраст. Общия брой на лицата с трайни увреждания е 638, от тях деца 39.</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2"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Съединение са разкрити 2 социални услуги, които се предоставят в гр. Съединение. Общият капацитет на социалните услуги е за 54 потребители, в т.ч. 34 асистентска подкрепа.</w:t>
      </w:r>
    </w:p>
    <w:tbl>
      <w:tblPr/>
      <w:tblGrid>
        <w:gridCol w:w="3624"/>
        <w:gridCol w:w="2848"/>
        <w:gridCol w:w="2588"/>
      </w:tblGrid>
      <w:tr>
        <w:trPr>
          <w:trHeight w:val="1" w:hRule="atLeast"/>
          <w:jc w:val="left"/>
        </w:trPr>
        <w:tc>
          <w:tcPr>
            <w:tcW w:w="36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z w:val="22"/>
                <w:shd w:fill="auto" w:val="clear"/>
              </w:rPr>
            </w:pPr>
          </w:p>
        </w:tc>
        <w:tc>
          <w:tcPr>
            <w:tcW w:w="28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ЦОП</w:t>
            </w:r>
          </w:p>
        </w:tc>
        <w:tc>
          <w:tcPr>
            <w:tcW w:w="2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АП</w:t>
            </w:r>
          </w:p>
        </w:tc>
      </w:tr>
      <w:tr>
        <w:trPr>
          <w:trHeight w:val="1" w:hRule="atLeast"/>
          <w:jc w:val="left"/>
        </w:trPr>
        <w:tc>
          <w:tcPr>
            <w:tcW w:w="36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Брой СУ</w:t>
            </w:r>
          </w:p>
        </w:tc>
        <w:tc>
          <w:tcPr>
            <w:tcW w:w="28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2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r>
      <w:tr>
        <w:trPr>
          <w:trHeight w:val="1" w:hRule="atLeast"/>
          <w:jc w:val="left"/>
        </w:trPr>
        <w:tc>
          <w:tcPr>
            <w:tcW w:w="36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Брой потребители</w:t>
            </w:r>
          </w:p>
        </w:tc>
        <w:tc>
          <w:tcPr>
            <w:tcW w:w="28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20</w:t>
            </w:r>
          </w:p>
        </w:tc>
        <w:tc>
          <w:tcPr>
            <w:tcW w:w="2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34</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Съединение</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Съединение е 11 лица. По услуги:</w:t>
      </w: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Съединение,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Съединение няма лица от други населени места, желаещи да ползват социални услуги.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Съединение за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426" w:leader="none"/>
          <w:tab w:val="left" w:pos="3894" w:leader="none"/>
        </w:tabs>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Графиката показва относително стабилно демографско развитие с тенденция към постепенно намаление на населението. За разлика от страната, процесът на застаряване все още не е толкова остро изразен в общината. Въпреки това е налице отрицателен естествен прираст в следствие от постепенното завишаване на смъртността и намаляване на раждаемостта.   </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социалните услуги, на територията на общината е нает необходимият персонал за осигуряване на добра грижа за потребителите на услугите.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След трансформиране на услугите, съгласно Наредбата за качество на социалните услуги ще е необходимо да се увеличат щатните бройки в услугите, спрямо ново определените им капацитети по чл.15 от ЗСУ. </w:t>
      </w:r>
    </w:p>
    <w:p>
      <w:pPr>
        <w:keepNext w:val="true"/>
        <w:tabs>
          <w:tab w:val="left" w:pos="862" w:leader="none"/>
        </w:tabs>
        <w:spacing w:before="0" w:after="12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ХИСАРЯ</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за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Хисаря информацията за населението по настоящ адрес е получена от ГРАО, МОН, ДСП-Хисаря, РУО-Пловдив, РЗИ-Пловдив,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Пловдив, НОИ, НСИ и НПО.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Хисаря е 10 592 жители, от тях 1 258 деца до 18-годишна възраст. Общия брой на лицата с трайни увреждания е 1 299, от тях деца 19.</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2"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Хисаря са разкрити 5 социални услуги, от тях 3 се предоставят в гр. Хисаря и 2 в с. Старосел. Общият капацитет на социалните услуги е за 181 потребители, в т.ч. 45 асистентска подкрепа.</w:t>
      </w:r>
    </w:p>
    <w:tbl>
      <w:tblPr/>
      <w:tblGrid>
        <w:gridCol w:w="2394"/>
        <w:gridCol w:w="1781"/>
        <w:gridCol w:w="1589"/>
        <w:gridCol w:w="1928"/>
        <w:gridCol w:w="1368"/>
      </w:tblGrid>
      <w:tr>
        <w:trPr>
          <w:trHeight w:val="1" w:hRule="atLeast"/>
          <w:jc w:val="left"/>
        </w:trPr>
        <w:tc>
          <w:tcPr>
            <w:tcW w:w="23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z w:val="22"/>
                <w:shd w:fill="auto" w:val="clear"/>
              </w:rPr>
            </w:pPr>
          </w:p>
        </w:tc>
        <w:tc>
          <w:tcPr>
            <w:tcW w:w="17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ДЦСХ</w:t>
            </w:r>
          </w:p>
        </w:tc>
        <w:tc>
          <w:tcPr>
            <w:tcW w:w="15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ДСХ</w:t>
            </w:r>
          </w:p>
        </w:tc>
        <w:tc>
          <w:tcPr>
            <w:tcW w:w="19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ЦОП</w:t>
            </w:r>
          </w:p>
        </w:tc>
        <w:tc>
          <w:tcPr>
            <w:tcW w:w="13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АП</w:t>
            </w:r>
          </w:p>
        </w:tc>
      </w:tr>
      <w:tr>
        <w:trPr>
          <w:trHeight w:val="1" w:hRule="atLeast"/>
          <w:jc w:val="left"/>
        </w:trPr>
        <w:tc>
          <w:tcPr>
            <w:tcW w:w="23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Брой СУ</w:t>
            </w:r>
          </w:p>
        </w:tc>
        <w:tc>
          <w:tcPr>
            <w:tcW w:w="17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w:t>
            </w:r>
          </w:p>
        </w:tc>
        <w:tc>
          <w:tcPr>
            <w:tcW w:w="15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9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13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p>
        </w:tc>
      </w:tr>
      <w:tr>
        <w:trPr>
          <w:trHeight w:val="1" w:hRule="atLeast"/>
          <w:jc w:val="left"/>
        </w:trPr>
        <w:tc>
          <w:tcPr>
            <w:tcW w:w="23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Брой потребители</w:t>
            </w:r>
          </w:p>
        </w:tc>
        <w:tc>
          <w:tcPr>
            <w:tcW w:w="17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70</w:t>
            </w:r>
          </w:p>
        </w:tc>
        <w:tc>
          <w:tcPr>
            <w:tcW w:w="15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26</w:t>
            </w:r>
          </w:p>
        </w:tc>
        <w:tc>
          <w:tcPr>
            <w:tcW w:w="19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40</w:t>
            </w:r>
          </w:p>
        </w:tc>
        <w:tc>
          <w:tcPr>
            <w:tcW w:w="13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45</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Хисаря</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Хисаря е 5 лица. По услуги:</w:t>
      </w: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ДЦСХ</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Хисаря,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Лицата от други общини, които ползват социални услуги на територията на община Хисаря са 20. </w:t>
      </w:r>
    </w:p>
    <w:tbl>
      <w:tblPr/>
      <w:tblGrid>
        <w:gridCol w:w="3182"/>
        <w:gridCol w:w="5878"/>
      </w:tblGrid>
      <w:tr>
        <w:trPr>
          <w:trHeight w:val="1" w:hRule="atLeast"/>
          <w:jc w:val="left"/>
        </w:trPr>
        <w:tc>
          <w:tcPr>
            <w:tcW w:w="318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587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318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587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r>
        <w:trPr>
          <w:trHeight w:val="1" w:hRule="atLeast"/>
          <w:jc w:val="left"/>
        </w:trPr>
        <w:tc>
          <w:tcPr>
            <w:tcW w:w="318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587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Хисаря за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Населението е разположено предимно в гр. Хисаря, село Старосел и село Паничери, където са съсредоточени основните административни, обслужващи, търговски и културни дейности. Останалите селища са относително изолирани, с голям брой възрастни хора, които се занимават със земеделие и животновъдство в лични стопанства.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Графиката показва, постепенно намаление на общия брой на населението. В следствие на по-високи нива на смъртността и по-ниски на раждаемостта се формира отрицателен естествен прираст.</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социалните услуги, на територията на общината е нает необходимият персонал за осигуряване на качествена грижа за потребителите на услугите. След трансформиране на услугите, съгласно Наредбата за качество на социалните услуги ще е необходимо да се увеличат щатните бройки в социалната услуга ЦОП, спрямо ново определените им капацитети по чл.15 от ЗСУ. </w:t>
      </w:r>
    </w:p>
    <w:p>
      <w:pPr>
        <w:keepNext w:val="true"/>
        <w:spacing w:before="0" w:after="120" w:line="240"/>
        <w:ind w:right="0" w:left="576"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АНАЛИЗ НА ПОТРЕБНОСТИТЕ В ОБЛАСТ ПЛОВДИВ (обобщено)</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обобщени за област Пловдив по общини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общините от област Пловдив информацията за населението критериите съгласно Наредбата за планиране на социалните услуги е получена от НСИ, ГРАО, АЗ,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Пловдив, общинска администрация, ДСП, РЗИ-Пловдив, МОН, РУО-Пловдив, РЗОК, НОИ, МКБППМН, Детска педагогическа стая, МВР, образователни институции, болници, социални услуги и др.</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област Пловдив, към 31.12.2021 г. е 701 048 жители, от тях 133 711 деца до 18-годишна възраст. Общия брой на лицата с трайни увреждания е 64 934, от тях деца 2 719.</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областта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брои на социалните услуги на територията на област Пловдив е 111 с 4366 потребители. Броят на социалните услуги за пълнолетни лица е 57 с 2 966 потребители.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графиките е видно, че на територията на областта преобладават услугите за резидентна грижа (ЦНСТ, КЦ, ПЖ, ЗЖ, НЖ, ЗМБ, Приют)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48 </w:t>
      </w:r>
      <w:r>
        <w:rPr>
          <w:rFonts w:ascii="Times New Roman" w:hAnsi="Times New Roman" w:cs="Times New Roman" w:eastAsia="Times New Roman"/>
          <w:color w:val="auto"/>
          <w:spacing w:val="0"/>
          <w:position w:val="0"/>
          <w:sz w:val="24"/>
          <w:shd w:fill="auto" w:val="clear"/>
        </w:rPr>
        <w:t xml:space="preserve">на брой за 612 потребители, на следващо място са консултативните услуги (ДЦ, ЦСРИ, ЦОП, ЦРДУ)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43 </w:t>
      </w:r>
      <w:r>
        <w:rPr>
          <w:rFonts w:ascii="Times New Roman" w:hAnsi="Times New Roman" w:cs="Times New Roman" w:eastAsia="Times New Roman"/>
          <w:color w:val="auto"/>
          <w:spacing w:val="0"/>
          <w:position w:val="0"/>
          <w:sz w:val="24"/>
          <w:shd w:fill="auto" w:val="clear"/>
        </w:rPr>
        <w:t xml:space="preserve">на брой за 1557 потребители, услугите, които се предоставят в домашна среда (АП) са с общ брой 18 за 1971 потребители и на последно място са услугите, които се предоставят в специализирана институция (ДСХ) са 2 на брой за 226 потребители.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за деца са 54 с 1 400 потребители.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следващата графика са представени социалните услуги по чл. 15 от ЗСУ, които са релевантни на функциониращите, към момента на изготвяне на Анализа от община Пловдив, социални услуги, финансирани от държавния бюджет, и находящи се на нейна територия. </w:t>
      </w:r>
    </w:p>
    <w:p>
      <w:pPr>
        <w:spacing w:before="0" w:after="12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област Пловдив</w:t>
      </w:r>
    </w:p>
    <w:tbl>
      <w:tblPr/>
      <w:tblGrid>
        <w:gridCol w:w="4037"/>
        <w:gridCol w:w="5023"/>
      </w:tblGrid>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Асистентска подкрепа</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93</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ДЦСХ</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43</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129</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ЦНСТПЛД</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35</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ЗЖЛПР</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34</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Приют</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Общо</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379</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Общо 79 лица са включени в списъците на чакащите за ползване на социални услуги в териториалния обхват на област Пловдив. Най-голям е броят на лицата, желаещи да ползват социалната услуга ЦНСТПЛПР.</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област Пловдив, различна от  общината по настоящ адрес</w:t>
      </w:r>
    </w:p>
    <w:p>
      <w:pPr>
        <w:spacing w:before="0" w:after="12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120" w:line="240"/>
        <w:ind w:right="0" w:left="0" w:firstLine="635"/>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635"/>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и интегрирани здравно-социални услуги на територията на област Пловдив, различна от общината по настоящ адрес е 682. Най-голям е техният брой в социалните услуги на територията на община Пловдив, на следващо място са общините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Карлово, Кричим и Сопот. Община Пловдив е както общински, така и областен център, струпването на населението на територията на тази община е най-високо. По-високите стойности на показателите за ползватели от други общини се дължат на по-големия брой социални услуги, разкрити на територията на гореспоменатите общини.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област Пловдив за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Анализа на данните на демографското развитие в област Пловдив за периода 2021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2017 </w:t>
      </w:r>
      <w:r>
        <w:rPr>
          <w:rFonts w:ascii="Times New Roman" w:hAnsi="Times New Roman" w:cs="Times New Roman" w:eastAsia="Times New Roman"/>
          <w:color w:val="auto"/>
          <w:spacing w:val="0"/>
          <w:position w:val="0"/>
          <w:sz w:val="24"/>
          <w:shd w:fill="auto" w:val="clear"/>
        </w:rPr>
        <w:t xml:space="preserve">г. показва намаление на общия брой на населението с тенденция към застаряване, ниска раждаемост, висока смъртност и отрицателен естествен прираст.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статистическите данни е видно, че отрицателния естествен прираст на населението плавно се обостря, като причина за това е устойчивият темп на редуциране на раждаемост и по-високият брой починали, въпреки относителната стабилност на показателите в изследвания период.</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на територията на област Пловдив</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предоставените данни за наличните социални услуги на територията на област Пловдив е видно, че те са обезпечени със служители. При всички социални услуги е необходимо увеличаване на щатните бройки за достигане до минималните изисквания в стандартите за качество по НКСУ.</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Като проблеми, свързани със служителите в социалните услуги, може да се посочи необходимост от кадри с медицинско образование. Друг проблем е ниската мотивация на младите хора за такъв тип работа и не на последно място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преобладаване на населението в надтрудоспособна възраст.</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Редовно се провеждат обучения за повишаване на професионалните умения и квалификация на служителите и ръководителите на социалните услуги, като се включват в обучения и супервизии за професионалната им подкрепа, което е предпоставка за подобряване на ефективността на предоставяните услуги.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Пловдив</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Настоящият анализ е документ, който отразява особеностите, значимите проблеми и приоритетните направления в социалната сфера за област Пловдив. Горецитираният документ е необходим, за да се отговори адекватно на обществените потребности, за да се предостави възможност за правилно планиране, съобразено с динамиката на настъпващите промени и не на последно място да се поддържа системна устойчивост.</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база на представената информация може да се направят следните изводи:</w:t>
      </w:r>
    </w:p>
    <w:p>
      <w:pPr>
        <w:spacing w:before="0" w:after="12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функционират почти еднакъв брой социални услуги за деца и за пълнолетни лица, като преобладава резидентната грижа, следвана от консултативните услуги и т.н.;</w:t>
      </w:r>
    </w:p>
    <w:p>
      <w:pPr>
        <w:spacing w:before="0" w:after="12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Необходимо е развитие на услугите в посока увеличаване на техния капацитет или създаване на нови такива;</w:t>
      </w:r>
    </w:p>
    <w:p>
      <w:pPr>
        <w:spacing w:before="0" w:after="12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Въпреки, че на територията на областта има </w:t>
      </w:r>
      <w:r>
        <w:rPr>
          <w:rFonts w:ascii="Times New Roman" w:hAnsi="Times New Roman" w:cs="Times New Roman" w:eastAsia="Times New Roman"/>
          <w:color w:val="auto"/>
          <w:spacing w:val="0"/>
          <w:position w:val="0"/>
          <w:sz w:val="24"/>
          <w:shd w:fill="auto" w:val="clear"/>
        </w:rPr>
        <w:t xml:space="preserve">голям брой социални услуги за резидентна грижа</w:t>
      </w:r>
      <w:r>
        <w:rPr>
          <w:rFonts w:ascii="Times New Roman" w:hAnsi="Times New Roman" w:cs="Times New Roman" w:eastAsia="Times New Roman"/>
          <w:color w:val="000000"/>
          <w:spacing w:val="0"/>
          <w:position w:val="0"/>
          <w:sz w:val="24"/>
          <w:shd w:fill="auto" w:val="clear"/>
        </w:rPr>
        <w:t xml:space="preserve">, включително се предоставят интегрирани здравно-социални услуги за деца, </w:t>
      </w:r>
      <w:r>
        <w:rPr>
          <w:rFonts w:ascii="Times New Roman" w:hAnsi="Times New Roman" w:cs="Times New Roman" w:eastAsia="Times New Roman"/>
          <w:color w:val="auto"/>
          <w:spacing w:val="0"/>
          <w:position w:val="0"/>
          <w:sz w:val="24"/>
          <w:shd w:fill="auto" w:val="clear"/>
        </w:rPr>
        <w:t xml:space="preserve">броят им не е недостатъчен за задоволяване на потребностите на жителите на областта;</w:t>
      </w:r>
    </w:p>
    <w:p>
      <w:pPr>
        <w:spacing w:before="0" w:after="120" w:line="24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Недостатъчен е броя на услугите за дневна и почасова грижа и подкрепа.</w:t>
      </w:r>
    </w:p>
    <w:p>
      <w:pPr>
        <w:keepNext w:val="true"/>
        <w:numPr>
          <w:ilvl w:val="0"/>
          <w:numId w:val="9456"/>
        </w:numPr>
        <w:tabs>
          <w:tab w:val="left" w:pos="718" w:leader="none"/>
          <w:tab w:val="left" w:pos="576" w:leader="none"/>
        </w:tabs>
        <w:spacing w:before="360" w:after="120" w:line="240"/>
        <w:ind w:right="0" w:left="576" w:hanging="576"/>
        <w:jc w:val="both"/>
        <w:rPr>
          <w:rFonts w:ascii="Times New Roman" w:hAnsi="Times New Roman" w:cs="Times New Roman" w:eastAsia="Times New Roman"/>
          <w:b/>
          <w:color w:val="003366"/>
          <w:spacing w:val="0"/>
          <w:position w:val="0"/>
          <w:sz w:val="28"/>
          <w:shd w:fill="auto" w:val="clear"/>
        </w:rPr>
      </w:pPr>
      <w:r>
        <w:rPr>
          <w:rFonts w:ascii="Times New Roman" w:hAnsi="Times New Roman" w:cs="Times New Roman" w:eastAsia="Times New Roman"/>
          <w:b/>
          <w:color w:val="003366"/>
          <w:spacing w:val="0"/>
          <w:position w:val="0"/>
          <w:sz w:val="28"/>
          <w:shd w:fill="auto" w:val="clear"/>
        </w:rPr>
        <w:t xml:space="preserve">ОБЛАСТ ХАСКОВО </w:t>
      </w:r>
    </w:p>
    <w:p>
      <w:pPr>
        <w:keepNext w:val="true"/>
        <w:tabs>
          <w:tab w:val="left" w:pos="862" w:leader="none"/>
        </w:tabs>
        <w:spacing w:before="240" w:after="6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ДИМИТРОВГРАД</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Димитровград информацията за населението по настоящ адрес е получена от Териториално поделение на Национален статистически институт Хасково,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гр. Димитровград, Районна здравна инспекция, гр. Хасково и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 гр. Димитровград.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Димитровград, към 31.12.2021 г. е 44 649 жители, от тях 7 515 деца до 18-годишна възраст. Общия брой на лицата с трайни увреждания е 4 215, от тях деца 232.</w:t>
      </w:r>
    </w:p>
    <w:p>
      <w:pPr>
        <w:spacing w:before="0" w:after="120" w:line="240"/>
        <w:ind w:right="0" w:left="-709" w:firstLine="708"/>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Димитровград са разкрити 10 социални услуги, които се предоставят на територията на гр. Димитровград. Общият капацитет на социалните услуги е за 349 потребители, в т.ч. 133 асистентска подкрепа.</w:t>
      </w:r>
    </w:p>
    <w:tbl>
      <w:tblPr/>
      <w:tblGrid>
        <w:gridCol w:w="1601"/>
        <w:gridCol w:w="1430"/>
        <w:gridCol w:w="1430"/>
        <w:gridCol w:w="1430"/>
        <w:gridCol w:w="1666"/>
        <w:gridCol w:w="1504"/>
      </w:tblGrid>
      <w:tr>
        <w:trPr>
          <w:trHeight w:val="269" w:hRule="auto"/>
          <w:jc w:val="center"/>
        </w:trPr>
        <w:tc>
          <w:tcPr>
            <w:tcW w:w="160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z w:val="22"/>
                <w:shd w:fill="auto" w:val="clear"/>
              </w:rPr>
            </w:pPr>
          </w:p>
        </w:tc>
        <w:tc>
          <w:tcPr>
            <w:tcW w:w="14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ДЦДМУ</w:t>
            </w:r>
          </w:p>
        </w:tc>
        <w:tc>
          <w:tcPr>
            <w:tcW w:w="14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ДЦПЛУ</w:t>
            </w:r>
          </w:p>
        </w:tc>
        <w:tc>
          <w:tcPr>
            <w:tcW w:w="14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ЗЖЛУИ</w:t>
            </w:r>
          </w:p>
        </w:tc>
        <w:tc>
          <w:tcPr>
            <w:tcW w:w="166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ЦНСТПЛУИ</w:t>
            </w:r>
          </w:p>
        </w:tc>
        <w:tc>
          <w:tcPr>
            <w:tcW w:w="150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ЦНСТДМУ</w:t>
            </w:r>
          </w:p>
        </w:tc>
      </w:tr>
      <w:tr>
        <w:trPr>
          <w:trHeight w:val="243" w:hRule="auto"/>
          <w:jc w:val="center"/>
        </w:trPr>
        <w:tc>
          <w:tcPr>
            <w:tcW w:w="160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4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66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0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007" w:hRule="auto"/>
          <w:jc w:val="center"/>
        </w:trPr>
        <w:tc>
          <w:tcPr>
            <w:tcW w:w="160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4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4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34</w:t>
            </w:r>
          </w:p>
        </w:tc>
        <w:tc>
          <w:tcPr>
            <w:tcW w:w="14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66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150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652"/>
        <w:gridCol w:w="1512"/>
        <w:gridCol w:w="1474"/>
        <w:gridCol w:w="1474"/>
        <w:gridCol w:w="1474"/>
        <w:gridCol w:w="1474"/>
      </w:tblGrid>
      <w:tr>
        <w:trPr>
          <w:trHeight w:val="269" w:hRule="auto"/>
          <w:jc w:val="center"/>
        </w:trPr>
        <w:tc>
          <w:tcPr>
            <w:tcW w:w="16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hanging="108"/>
              <w:jc w:val="left"/>
              <w:rPr>
                <w:rFonts w:ascii="Calibri" w:hAnsi="Calibri" w:cs="Calibri" w:eastAsia="Calibri"/>
                <w:color w:val="auto"/>
                <w:spacing w:val="0"/>
                <w:position w:val="0"/>
                <w:sz w:val="22"/>
                <w:shd w:fill="auto" w:val="clear"/>
              </w:rPr>
            </w:pPr>
          </w:p>
        </w:tc>
        <w:tc>
          <w:tcPr>
            <w:tcW w:w="1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ЦНСТПЛД</w:t>
            </w:r>
          </w:p>
        </w:tc>
        <w:tc>
          <w:tcPr>
            <w:tcW w:w="147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КЦ</w:t>
            </w:r>
          </w:p>
        </w:tc>
        <w:tc>
          <w:tcPr>
            <w:tcW w:w="147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147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ЦВН</w:t>
            </w:r>
          </w:p>
        </w:tc>
        <w:tc>
          <w:tcPr>
            <w:tcW w:w="147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243" w:hRule="auto"/>
          <w:jc w:val="center"/>
        </w:trPr>
        <w:tc>
          <w:tcPr>
            <w:tcW w:w="16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7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7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7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7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007" w:hRule="auto"/>
          <w:jc w:val="center"/>
        </w:trPr>
        <w:tc>
          <w:tcPr>
            <w:tcW w:w="16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147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147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70</w:t>
            </w:r>
          </w:p>
        </w:tc>
        <w:tc>
          <w:tcPr>
            <w:tcW w:w="147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47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133</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Димитровград</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Димитровград е 12. По услуги: </w:t>
      </w:r>
    </w:p>
    <w:tbl>
      <w:tblPr/>
      <w:tblGrid>
        <w:gridCol w:w="4037"/>
        <w:gridCol w:w="5023"/>
      </w:tblGrid>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ЦНСТПЛД</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ЦВН</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Димитровград,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Димитровград, от други общини е 55. </w:t>
      </w:r>
    </w:p>
    <w:tbl>
      <w:tblPr/>
      <w:tblGrid>
        <w:gridCol w:w="4541"/>
        <w:gridCol w:w="4509"/>
      </w:tblGrid>
      <w:tr>
        <w:trPr>
          <w:trHeight w:val="1" w:hRule="atLeast"/>
          <w:jc w:val="left"/>
        </w:trPr>
        <w:tc>
          <w:tcPr>
            <w:tcW w:w="4541"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09" w:type="dxa"/>
            <w:tcBorders>
              <w:top w:val="single" w:color="000000" w:sz="8"/>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1"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4509"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r>
      <w:tr>
        <w:trPr>
          <w:trHeight w:val="1" w:hRule="atLeast"/>
          <w:jc w:val="left"/>
        </w:trPr>
        <w:tc>
          <w:tcPr>
            <w:tcW w:w="4541"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ЦНСТПЛД</w:t>
            </w:r>
          </w:p>
        </w:tc>
        <w:tc>
          <w:tcPr>
            <w:tcW w:w="4509"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4541"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4509"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r>
      <w:tr>
        <w:trPr>
          <w:trHeight w:val="1" w:hRule="atLeast"/>
          <w:jc w:val="left"/>
        </w:trPr>
        <w:tc>
          <w:tcPr>
            <w:tcW w:w="4541"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ЦВН</w:t>
            </w:r>
          </w:p>
        </w:tc>
        <w:tc>
          <w:tcPr>
            <w:tcW w:w="4509"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w:t>
            </w:r>
          </w:p>
        </w:tc>
      </w:tr>
      <w:tr>
        <w:trPr>
          <w:trHeight w:val="1" w:hRule="atLeast"/>
          <w:jc w:val="left"/>
        </w:trPr>
        <w:tc>
          <w:tcPr>
            <w:tcW w:w="4541"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КЦПЛ</w:t>
            </w:r>
          </w:p>
        </w:tc>
        <w:tc>
          <w:tcPr>
            <w:tcW w:w="4509"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4541"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4509"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Димитровград за последните 5 години</w:t>
      </w:r>
    </w:p>
    <w:p>
      <w:pPr>
        <w:tabs>
          <w:tab w:val="left" w:pos="709" w:leader="none"/>
        </w:tabs>
        <w:suppressAutoHyphens w:val="true"/>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Графиката показва, намаление на общия брой на населението с тенденция към застаряване, ниска раждаемост и увеличаваща се смъртност Устойчива е тенденцията към емиграция и обезлюдяване на общината.</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община Димитровград в голяма степен са покрити нуждите от квалифициран персонал, необходим за предоставяне на социалните услуги. Назначени са необходимите основни специалисти, осъществяващи дейности по предоставяне на социални услуги, както и служители, пряко ангажирани с обслужването на потребителите. Наличните вакантни места са за част от препоръчителните специалисти, които, в зависимост от вида на социалната услуга, подпомагат функционирането ѝ и осигуряват допълнителни възможности за постигане на адекватна ефективност и качество на предоставяните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Прави впечатление, че част от наетите служители в социалните услуги са в пред пенсионна и/или пенсионна възраст. Проблемът с намирането на специалисти и помощен персонал в услугите е съществен. Факторите за това са липсата на кадри на трудовия пазар, ниското заплащане в сравнение със сфери като здравеопазване и образование и слабата мотивация на младите специалисти за работа в социалните услуги 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на терен”.</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Като проблем е изведена липсата на мотивация в новозавършилите специалност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Социални дейности“ за работа в социалните услуги, поради ниското заплащане в сектора.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Димитровград подкрепя служителите в социалните услуги, чрез провеждане на поддържащи обучения, супервизии и работни срещи, насочени към повишаване на професионалните умения и подобряване качеството на грижа спрямо потребителите. </w:t>
      </w:r>
    </w:p>
    <w:p>
      <w:pPr>
        <w:keepNext w:val="true"/>
        <w:tabs>
          <w:tab w:val="left" w:pos="862" w:leader="none"/>
        </w:tabs>
        <w:spacing w:before="240" w:after="6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ИВАЙЛОВГРАД</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Ивайловград информацията за населението по настоящ адрес е получена от НСИ, общинска администрация,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Ивайловград,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Ивайловград и Звено за 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Ивайловград, към 31.12.2021 г. е 7589 жители, от тях 768 деца до 18-годишна възраст. Общият брой на лицата с трайни увреждания е 570, а на децата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17.</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Ивайловград са разкрити 3 социални услуги, и същите се предоставят в гр. Ивайловград. Общият капацитет на социалните услуги е за 71 потребители, в т.ч. 29 асистентска подкрепа.</w:t>
      </w:r>
    </w:p>
    <w:tbl>
      <w:tblPr/>
      <w:tblGrid>
        <w:gridCol w:w="2267"/>
        <w:gridCol w:w="2265"/>
        <w:gridCol w:w="2264"/>
        <w:gridCol w:w="2264"/>
      </w:tblGrid>
      <w:tr>
        <w:trPr>
          <w:trHeight w:val="1" w:hRule="atLeast"/>
          <w:jc w:val="center"/>
        </w:trPr>
        <w:tc>
          <w:tcPr>
            <w:tcW w:w="226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z w:val="22"/>
                <w:shd w:fill="auto" w:val="clear"/>
              </w:rPr>
            </w:pPr>
          </w:p>
        </w:tc>
        <w:tc>
          <w:tcPr>
            <w:tcW w:w="226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ДЦДМУ</w:t>
            </w:r>
          </w:p>
        </w:tc>
        <w:tc>
          <w:tcPr>
            <w:tcW w:w="226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c>
          <w:tcPr>
            <w:tcW w:w="226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r>
      <w:tr>
        <w:trPr>
          <w:trHeight w:val="1" w:hRule="atLeast"/>
          <w:jc w:val="center"/>
        </w:trPr>
        <w:tc>
          <w:tcPr>
            <w:tcW w:w="226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26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26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26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center"/>
        </w:trPr>
        <w:tc>
          <w:tcPr>
            <w:tcW w:w="226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26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w:t>
            </w:r>
          </w:p>
        </w:tc>
        <w:tc>
          <w:tcPr>
            <w:tcW w:w="226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29</w:t>
            </w:r>
          </w:p>
        </w:tc>
        <w:tc>
          <w:tcPr>
            <w:tcW w:w="226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Ивайловград</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Ивайловград е 6 лица. По услуги: </w:t>
      </w:r>
    </w:p>
    <w:tbl>
      <w:tblPr/>
      <w:tblGrid>
        <w:gridCol w:w="3160"/>
        <w:gridCol w:w="5900"/>
      </w:tblGrid>
      <w:tr>
        <w:trPr>
          <w:trHeight w:val="1" w:hRule="atLeast"/>
          <w:jc w:val="center"/>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center"/>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Ивайловград,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Ивайловград, от други общини, е 6.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1"/>
        <w:gridCol w:w="4509"/>
      </w:tblGrid>
      <w:tr>
        <w:trPr>
          <w:trHeight w:val="1" w:hRule="atLeast"/>
          <w:jc w:val="left"/>
        </w:trPr>
        <w:tc>
          <w:tcPr>
            <w:tcW w:w="4541"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09" w:type="dxa"/>
            <w:tcBorders>
              <w:top w:val="single" w:color="000000" w:sz="8"/>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1"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tabs>
                <w:tab w:val="left" w:pos="2652" w:leader="none"/>
              </w:tabs>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4509"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541"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4509"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Ивайловград за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Графиката показва, че в община Ивайловград продължават неблагоприятните демографски тенденции, формирани още в края на миналия век. Динамиката следва трайна тенденция на намаляване на населението. Тенденциите, като намаляваща раждаемост и застаряване на населението в община Ивайловград са силно изразени. В допълнение продължават да се наблюдават и задълбочават негативни тенденции, като по-високи нива на смъртност и интензивна външна миграция.</w:t>
      </w:r>
    </w:p>
    <w:p>
      <w:pPr>
        <w:tabs>
          <w:tab w:val="left" w:pos="709" w:leader="none"/>
        </w:tabs>
        <w:suppressAutoHyphens w:val="true"/>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Тенденциите на демографски неравновесия между раждаемост и смъртност се допълват от засилени емиграционни вълни, най-вече на млади хора в трудоспособна възраст, което се оказва критично за местния пазар на труда</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Трите броя социални услуги, които функционират на територията на община Ивайловград към момента на извършване на анализа, разполагат с необходимия брой квалифициран персонал и няма незаети позиции.</w:t>
      </w:r>
    </w:p>
    <w:p>
      <w:pPr>
        <w:keepNext w:val="true"/>
        <w:tabs>
          <w:tab w:val="left" w:pos="862" w:leader="none"/>
        </w:tabs>
        <w:spacing w:before="240" w:after="6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ЛЮБИМЕЦ</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Любимец информацията за населението по настоящ адрес е получена от Национална база данни на ГРАО,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Свиленград и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 Свиленград.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Любимец, към 31.12.2021 г. е 9554 жители, от тях 2096 деца до 18-годишна възраст. Общия брой на лицата с трайни увреждания е 763, от тях деца 51.</w:t>
      </w:r>
    </w:p>
    <w:p>
      <w:pPr>
        <w:spacing w:before="0" w:after="12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Любимец е разкрита 1 социална услуга, която се предоставя в гр. Любимец. Капацитетът на услугата е 26 потребители.</w:t>
      </w:r>
    </w:p>
    <w:tbl>
      <w:tblPr/>
      <w:tblGrid>
        <w:gridCol w:w="6663"/>
        <w:gridCol w:w="2397"/>
      </w:tblGrid>
      <w:tr>
        <w:trPr>
          <w:trHeight w:val="1" w:hRule="atLeast"/>
          <w:jc w:val="left"/>
        </w:trPr>
        <w:tc>
          <w:tcPr>
            <w:tcW w:w="666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z w:val="22"/>
                <w:shd w:fill="auto" w:val="clear"/>
              </w:rPr>
            </w:pPr>
          </w:p>
        </w:tc>
        <w:tc>
          <w:tcPr>
            <w:tcW w:w="239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left"/>
        </w:trPr>
        <w:tc>
          <w:tcPr>
            <w:tcW w:w="666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39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666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39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26</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Любимец</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Любимец е 6 лица. По услуги: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160"/>
        <w:gridCol w:w="5900"/>
      </w:tblGrid>
      <w:tr>
        <w:trPr>
          <w:trHeight w:val="1" w:hRule="atLeast"/>
          <w:jc w:val="center"/>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center"/>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Любимец,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Любимец не предоставя социални и интегрирани здравно-социални услуги, функциониращи на територията ѝ, на лица от други общини.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Любимец за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През последните години раждаемостта в община Любимец намалява, като следва тенденциите, характерни за цялата област. Безработицата, особено сред младите хора, обедняването и влошаването на жизненото равнище са сред основните причини. Търсенето на работа от младото и трудоспособно население в репродуктивна възраст в големите градове води до намаляване броя на населението в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Любимец е една от общините в областта с най-нисък дял на населението в трудоспособна възраст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5242 </w:t>
      </w:r>
      <w:r>
        <w:rPr>
          <w:rFonts w:ascii="Times New Roman" w:hAnsi="Times New Roman" w:cs="Times New Roman" w:eastAsia="Times New Roman"/>
          <w:color w:val="auto"/>
          <w:spacing w:val="0"/>
          <w:position w:val="0"/>
          <w:sz w:val="24"/>
          <w:shd w:fill="auto" w:val="clear"/>
        </w:rPr>
        <w:t xml:space="preserve">души или 54,81 % Наблюдава се трайна тенденция на непрекъснато и устойчиво намаляване на населението в подтрудоспособна и трудоспособна възраст и постепенно увеличаване на населението в надтрудоспособна възраст.</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Анализът на цифрите показва тенденция към застаряване на населението и влошаване на възрастовата структура.</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Услугата Асистентска подкрепа се предоставя от 8 социални асистенти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пряко ангажирани с обслужването на потребителите. Услугата се администрира от двама социални работници и е с териториален обхват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3 </w:t>
      </w:r>
      <w:r>
        <w:rPr>
          <w:rFonts w:ascii="Times New Roman" w:hAnsi="Times New Roman" w:cs="Times New Roman" w:eastAsia="Times New Roman"/>
          <w:color w:val="auto"/>
          <w:spacing w:val="0"/>
          <w:position w:val="0"/>
          <w:sz w:val="24"/>
          <w:shd w:fill="auto" w:val="clear"/>
        </w:rPr>
        <w:t xml:space="preserve">населени места.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Общината, в качеството ѝ на доставчик на социални услуги, изпълнява задълженията си за осигуряване на супервизии и обучения за заетите в предоставянето на услугата.</w:t>
      </w:r>
    </w:p>
    <w:p>
      <w:pPr>
        <w:keepNext w:val="true"/>
        <w:tabs>
          <w:tab w:val="left" w:pos="862" w:leader="none"/>
        </w:tabs>
        <w:spacing w:before="240" w:after="6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МАДЖАРОВО</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за общината</w:t>
      </w:r>
    </w:p>
    <w:p>
      <w:pPr>
        <w:spacing w:before="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Маджарово информацията за населението по настоящ адрес е получена от Институциите на областно ниво - като РДСП Хасково, РУО - Хасково,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Регионална служба по заетостта</w:t>
      </w:r>
      <w:r>
        <w:rPr>
          <w:rFonts w:ascii="Times New Roman" w:hAnsi="Times New Roman" w:cs="Times New Roman" w:eastAsia="Times New Roman"/>
          <w:color w:val="auto"/>
          <w:spacing w:val="0"/>
          <w:position w:val="0"/>
          <w:sz w:val="24"/>
          <w:shd w:fill="auto" w:val="clear"/>
        </w:rPr>
        <w:t xml:space="preserve">» - </w:t>
      </w:r>
      <w:r>
        <w:rPr>
          <w:rFonts w:ascii="Times New Roman" w:hAnsi="Times New Roman" w:cs="Times New Roman" w:eastAsia="Times New Roman"/>
          <w:color w:val="auto"/>
          <w:spacing w:val="0"/>
          <w:position w:val="0"/>
          <w:sz w:val="24"/>
          <w:shd w:fill="auto" w:val="clear"/>
        </w:rPr>
        <w:t xml:space="preserve">Хасково,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w:t>
      </w:r>
      <w:r>
        <w:rPr>
          <w:rFonts w:ascii="Times New Roman" w:hAnsi="Times New Roman" w:cs="Times New Roman" w:eastAsia="Times New Roman"/>
          <w:color w:val="auto"/>
          <w:spacing w:val="0"/>
          <w:position w:val="0"/>
          <w:sz w:val="24"/>
          <w:shd w:fill="auto" w:val="clear"/>
        </w:rPr>
        <w:t xml:space="preserve">» - </w:t>
      </w:r>
      <w:r>
        <w:rPr>
          <w:rFonts w:ascii="Times New Roman" w:hAnsi="Times New Roman" w:cs="Times New Roman" w:eastAsia="Times New Roman"/>
          <w:color w:val="auto"/>
          <w:spacing w:val="0"/>
          <w:position w:val="0"/>
          <w:sz w:val="24"/>
          <w:shd w:fill="auto" w:val="clear"/>
        </w:rPr>
        <w:t xml:space="preserve">Хасково, Териториално поделение на Национален осигурителен институт -Хасково, Териториално статистическо бюро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Хасково, ГРАО и ДСП - гр. Ивайловград /ИРМ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Маджарово/.</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Маджарово, към 31.12.2021 г. е 2023 жители, от тях 210 деца до 18-годишна възраст. Общия брой на лицата с трайни увреждания е 190, от тях деца 4.</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Маджарово е разкрита 1 социална услуга, която се предоставя в гр. Маджарово. Капацитетът на услугата е 11 потребители.</w:t>
      </w:r>
    </w:p>
    <w:tbl>
      <w:tblPr/>
      <w:tblGrid>
        <w:gridCol w:w="6663"/>
        <w:gridCol w:w="2397"/>
      </w:tblGrid>
      <w:tr>
        <w:trPr>
          <w:trHeight w:val="1" w:hRule="atLeast"/>
          <w:jc w:val="left"/>
        </w:trPr>
        <w:tc>
          <w:tcPr>
            <w:tcW w:w="666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rFonts w:ascii="Calibri" w:hAnsi="Calibri" w:cs="Calibri" w:eastAsia="Calibri"/>
                <w:color w:val="auto"/>
                <w:spacing w:val="0"/>
                <w:position w:val="0"/>
                <w:sz w:val="22"/>
                <w:shd w:fill="auto" w:val="clear"/>
              </w:rPr>
            </w:pPr>
          </w:p>
        </w:tc>
        <w:tc>
          <w:tcPr>
            <w:tcW w:w="239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left"/>
        </w:trPr>
        <w:tc>
          <w:tcPr>
            <w:tcW w:w="666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39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666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39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Маджарово</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община Маджарово няма желаещи да ползват единствената социална услуга.</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Маджарово,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лица от други общини, които ползват социални услуги на територията на община Маджарово.</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Маджарово за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представените данни относно демографското развитие на община Маджарово могат да се очертаят следните тенденции: измененията в структурата на населението по възраст са в посока задълбочаване процеса на стареене, естественото възпроизводство се осъществява при отрицателен естествен прираст, формиран от ниската раждаемост и високата смъртност на населението.</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Поради липса на социални услуги от резидентен тип, общината не извежда прогнозен брой на необходимите служители. </w:t>
      </w:r>
    </w:p>
    <w:p>
      <w:pPr>
        <w:keepNext w:val="true"/>
        <w:tabs>
          <w:tab w:val="left" w:pos="862" w:leader="none"/>
        </w:tabs>
        <w:spacing w:before="240" w:after="6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МИНЕРАЛНИ БАНИ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Минерални бани информацията за населението по настоящ адрес е получена от Национален статистически институт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ТСБ Хасково,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Хасково,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Хасково, Отдел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ГРАОН“ в община Минерални бани.</w:t>
      </w:r>
    </w:p>
    <w:p>
      <w:pPr>
        <w:spacing w:before="0" w:after="120" w:line="240"/>
        <w:ind w:right="48" w:left="-15"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Минерални бани, към 31.12.2021 г. е 1695 жители, от тях 165 деца до 18-годишна възраст. Общия брой на лицата с трайни увреждания е 170, от тях деца 25.</w:t>
      </w:r>
    </w:p>
    <w:p>
      <w:pPr>
        <w:spacing w:before="0" w:after="120" w:line="240"/>
        <w:ind w:right="48" w:left="-15" w:firstLine="422"/>
        <w:jc w:val="both"/>
        <w:rPr>
          <w:rFonts w:ascii="Times New Roman" w:hAnsi="Times New Roman" w:cs="Times New Roman" w:eastAsia="Times New Roman"/>
          <w:color w:val="auto"/>
          <w:spacing w:val="0"/>
          <w:position w:val="0"/>
          <w:sz w:val="24"/>
          <w:shd w:fill="auto" w:val="clear"/>
        </w:rPr>
      </w:pPr>
    </w:p>
    <w:p>
      <w:pPr>
        <w:spacing w:before="0" w:after="120" w:line="240"/>
        <w:ind w:right="48" w:left="-15" w:firstLine="15"/>
        <w:jc w:val="both"/>
        <w:rPr>
          <w:rFonts w:ascii="Times New Roman" w:hAnsi="Times New Roman" w:cs="Times New Roman" w:eastAsia="Times New Roman"/>
          <w:color w:val="000000"/>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Минерални бани е разкрита само една социална услуга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Асистентска подкрепа, с 20 потребители.</w:t>
      </w:r>
    </w:p>
    <w:tbl>
      <w:tblPr/>
      <w:tblGrid>
        <w:gridCol w:w="6665"/>
        <w:gridCol w:w="2395"/>
      </w:tblGrid>
      <w:tr>
        <w:trPr>
          <w:trHeight w:val="1" w:hRule="atLeast"/>
          <w:jc w:val="center"/>
        </w:trPr>
        <w:tc>
          <w:tcPr>
            <w:tcW w:w="666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z w:val="22"/>
                <w:shd w:fill="auto" w:val="clear"/>
              </w:rPr>
            </w:pPr>
          </w:p>
        </w:tc>
        <w:tc>
          <w:tcPr>
            <w:tcW w:w="23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center"/>
        </w:trPr>
        <w:tc>
          <w:tcPr>
            <w:tcW w:w="666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3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center"/>
        </w:trPr>
        <w:tc>
          <w:tcPr>
            <w:tcW w:w="666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3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Минерални бани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Минерални бани е 13 лица. По услуги:</w:t>
      </w:r>
    </w:p>
    <w:tbl>
      <w:tblPr/>
      <w:tblGrid>
        <w:gridCol w:w="3160"/>
        <w:gridCol w:w="5900"/>
      </w:tblGrid>
      <w:tr>
        <w:trPr>
          <w:trHeight w:val="1" w:hRule="atLeast"/>
          <w:jc w:val="center"/>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center"/>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Асистентска подкрепа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Минерални бани,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лица от други общини, които ползват социални услуги на територията на община Минерални бани.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Минерални бани за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Процесът на намаление на населението, характерен за страната като цяло, за Южен централен регион и област Хасково, не се наблюдава в община Минерални бани.  Очертаните тенденции в естественото движение на населението бележат възпроизводство с отрицателен естествен прираст, но с по-нисък интензитет през последните години.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Възрастовата структура на населението на община Минерални бани се характеризира със застаряване на населението. Наблюдава се тенденция към задълбочаване на процеса на демографско застаряване на населението, дължаща се от една страна на постоянен спад в естествения прираст на населението в община Минерални бани, а от друга страна на миграцията на млади хора (19-39 г.).</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Единствената социална услуга в общината е Асистентска подкрепа, за предоставянето на същата няма незаети длъжности.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 осигуряване на професионално и кариерно развитие на служителите, отговорни за изпълнението на услугата е осигурено участие в обучения. За асистентите, предоставящи услугата в домашна среда, са проведени встъпително и/или поддържащи обучения.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Съгласно Наредбата за качество на социалните услуги и желанието на общината да разкрие на общинско ниво комплекс от услуги , включващи дейности, съгласно чл.15 от ЗСУ, ще са необходими специалисти, като управител, социален работник, психолог, рехабилитатор, медицинско лице, съгласно определените капацитети на услугите по чл.15 от ЗСУ.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Минерални бани не може да гарантира, че при разкриване на услугите,  ще успее да осигури необходимия специализиран и общ персонал сред регистрираните безработни в общината.</w:t>
      </w:r>
    </w:p>
    <w:p>
      <w:pPr>
        <w:keepNext w:val="true"/>
        <w:tabs>
          <w:tab w:val="left" w:pos="862" w:leader="none"/>
        </w:tabs>
        <w:spacing w:before="240" w:after="6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СВИЛЕНГРАД</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Свиленград информацията за населението по настоящ адрес е получена от Национален статистически институт, Общинска администрация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ГРАО и отделите, отговорни за социални, образователни и хуманитарни дейности,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Свиленград, кметове и кметски наместници по селата в Община Свиленград, както и Териториално статистическо бюро - гр. Хасково.</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Свиленград, към 31.12.2021 г. е 20 867 жители, от тях 3 261 деца до 18-годишна възраст. Общия брой на лицата с трайни увреждания е 1667, от тях деца 121.</w:t>
      </w:r>
    </w:p>
    <w:p>
      <w:pPr>
        <w:spacing w:before="0" w:after="12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Свиленград са разкрити 6 социални услуги, които се предоставят на територията на гр. Свиленград. Общият капацитет на социалните услуги е за 111 потребители, в т.ч. 54 асистентска подкрепа.</w:t>
      </w:r>
    </w:p>
    <w:tbl>
      <w:tblPr/>
      <w:tblGrid>
        <w:gridCol w:w="1724"/>
        <w:gridCol w:w="1288"/>
        <w:gridCol w:w="1361"/>
        <w:gridCol w:w="1458"/>
        <w:gridCol w:w="860"/>
        <w:gridCol w:w="1573"/>
        <w:gridCol w:w="801"/>
      </w:tblGrid>
      <w:tr>
        <w:trPr>
          <w:trHeight w:val="1" w:hRule="atLeast"/>
          <w:jc w:val="center"/>
        </w:trPr>
        <w:tc>
          <w:tcPr>
            <w:tcW w:w="172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z w:val="22"/>
                <w:shd w:fill="auto" w:val="clear"/>
              </w:rPr>
            </w:pPr>
          </w:p>
        </w:tc>
        <w:tc>
          <w:tcPr>
            <w:tcW w:w="12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ДЦПЛУ</w:t>
            </w:r>
          </w:p>
        </w:tc>
        <w:tc>
          <w:tcPr>
            <w:tcW w:w="13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ДЦПЛУ-СГ</w:t>
            </w:r>
          </w:p>
        </w:tc>
        <w:tc>
          <w:tcPr>
            <w:tcW w:w="14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ДЦДТМУ</w:t>
            </w:r>
          </w:p>
        </w:tc>
        <w:tc>
          <w:tcPr>
            <w:tcW w:w="8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ПЖ</w:t>
            </w:r>
          </w:p>
        </w:tc>
        <w:tc>
          <w:tcPr>
            <w:tcW w:w="15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ЦНСТДБУ</w:t>
            </w:r>
          </w:p>
        </w:tc>
        <w:tc>
          <w:tcPr>
            <w:tcW w:w="8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center"/>
        </w:trPr>
        <w:tc>
          <w:tcPr>
            <w:tcW w:w="172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2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3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center"/>
        </w:trPr>
        <w:tc>
          <w:tcPr>
            <w:tcW w:w="172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2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3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14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8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5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8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54</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Свиленград</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Свиленград е 1 лице. По услуги:</w:t>
      </w:r>
    </w:p>
    <w:tbl>
      <w:tblPr/>
      <w:tblGrid>
        <w:gridCol w:w="3160"/>
        <w:gridCol w:w="5900"/>
      </w:tblGrid>
      <w:tr>
        <w:trPr>
          <w:trHeight w:val="1" w:hRule="atLeast"/>
          <w:jc w:val="center"/>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center"/>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Асистентска подкрепа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Свиленград,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541"/>
        <w:gridCol w:w="4509"/>
      </w:tblGrid>
      <w:tr>
        <w:trPr>
          <w:trHeight w:val="1" w:hRule="atLeast"/>
          <w:jc w:val="left"/>
        </w:trPr>
        <w:tc>
          <w:tcPr>
            <w:tcW w:w="4541"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09" w:type="dxa"/>
            <w:tcBorders>
              <w:top w:val="single" w:color="000000" w:sz="8"/>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1"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ПЖ</w:t>
            </w:r>
          </w:p>
        </w:tc>
        <w:tc>
          <w:tcPr>
            <w:tcW w:w="4509"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4541"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4509"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r>
        <w:trPr>
          <w:trHeight w:val="1" w:hRule="atLeast"/>
          <w:jc w:val="left"/>
        </w:trPr>
        <w:tc>
          <w:tcPr>
            <w:tcW w:w="4541"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4509"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541"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 - СГ</w:t>
            </w:r>
          </w:p>
        </w:tc>
        <w:tc>
          <w:tcPr>
            <w:tcW w:w="4509"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541"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ДЦДТМУ</w:t>
            </w:r>
          </w:p>
        </w:tc>
        <w:tc>
          <w:tcPr>
            <w:tcW w:w="4509"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Свиленград, от други общини е 12. </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Свиленград за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община Свиленград се наблюдават почти двойно по-бързи темпове на намаляване на населението, в сравнение с тенденциите в страната. Това се дължи от една страна на увеличаващия се брой на смъртност в общината, на фона на останалия почти константен брой на раждаемостта в разглеждания период, а от друга страна на покачващият се отрицателен естествен прираст на населението.</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община Свиленград механичното движение през разглеждания период е отрицателно, докато в селата броят на заселените през годините (с изключение на 2018 и 2019 г.) е значително по-висок, от този на изселените. Тази тенденция за завръщане в селата се забелязва в България още при първата вълна на Covid-19.</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които функционират на територията на община Свиленград към момента на извършване на анализа, разполагат с необходимия брой квалифициран персонал и няма незаети позиции. Назначените към настоящия момент служители отговарят на изискванията за квалификация и състав на служителите за този тип 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 цел постигането на съответствие с изискванията за брой, квалификация и състав на служителите, заложени в стандартите за качество по Наредбата за качеството на социалните услуги за всички социални услуги, функциониращи на територията на общината, се предвижда увеличение на щатния брой на персонала. </w:t>
      </w:r>
    </w:p>
    <w:p>
      <w:pPr>
        <w:keepNext w:val="true"/>
        <w:tabs>
          <w:tab w:val="left" w:pos="862" w:leader="none"/>
        </w:tabs>
        <w:spacing w:before="240" w:after="6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СИМЕОНОВГРАД</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в община Симеоновград са използвани официални източници на информация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данни, предоставени от институциите на областно ниво - като РДСП, РУО на МОН, , ДБТ, общинска администрация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ГРАО и служителите, отговорни за социални и образователни дейности, както и ДСП и отделите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Социална закрила”.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Симеоновград, към 31.12.2021 г. е 9962 жители, от тях 2362 деца до 18-годишна възраст. Общия брой на лицата с трайни увреждания е 586, от тях деца 35.</w:t>
      </w:r>
    </w:p>
    <w:p>
      <w:pPr>
        <w:spacing w:before="0" w:after="120" w:line="240"/>
        <w:ind w:right="0" w:left="0" w:firstLine="0"/>
        <w:jc w:val="center"/>
        <w:rPr>
          <w:rFonts w:ascii="Times New Roman" w:hAnsi="Times New Roman" w:cs="Times New Roman" w:eastAsia="Times New Roman"/>
          <w:color w:val="auto"/>
          <w:spacing w:val="0"/>
          <w:position w:val="0"/>
          <w:sz w:val="20"/>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Симеоновград са разкрити 3 социални услуги, като всички се предоставят в гр. Симеоновград. Общият капацитет на социалните услуги е за 81 потребители, в т.ч. 21 асистентска подкрепа.</w:t>
      </w:r>
    </w:p>
    <w:tbl>
      <w:tblPr/>
      <w:tblGrid>
        <w:gridCol w:w="2557"/>
        <w:gridCol w:w="2240"/>
        <w:gridCol w:w="2178"/>
        <w:gridCol w:w="2085"/>
      </w:tblGrid>
      <w:tr>
        <w:trPr>
          <w:trHeight w:val="1" w:hRule="atLeast"/>
          <w:jc w:val="center"/>
        </w:trPr>
        <w:tc>
          <w:tcPr>
            <w:tcW w:w="25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z w:val="22"/>
                <w:shd w:fill="auto" w:val="clear"/>
              </w:rPr>
            </w:pPr>
          </w:p>
        </w:tc>
        <w:tc>
          <w:tcPr>
            <w:tcW w:w="22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w:t>
            </w:r>
          </w:p>
        </w:tc>
        <w:tc>
          <w:tcPr>
            <w:tcW w:w="217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20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center"/>
        </w:trPr>
        <w:tc>
          <w:tcPr>
            <w:tcW w:w="25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2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17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0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center"/>
        </w:trPr>
        <w:tc>
          <w:tcPr>
            <w:tcW w:w="25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2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217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20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21</w:t>
            </w:r>
          </w:p>
        </w:tc>
      </w:tr>
    </w:tbl>
    <w:p>
      <w:pPr>
        <w:spacing w:before="0" w:after="12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Симеоновград</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Симеоновград е 16 лица.  По услуги:</w:t>
      </w:r>
    </w:p>
    <w:tbl>
      <w:tblPr/>
      <w:tblGrid>
        <w:gridCol w:w="3160"/>
        <w:gridCol w:w="5900"/>
      </w:tblGrid>
      <w:tr>
        <w:trPr>
          <w:trHeight w:val="1" w:hRule="atLeast"/>
          <w:jc w:val="center"/>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center"/>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Асистентска подкрепа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Симеоновград,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лица от други общини, които ползват социални услуги на територията на община Симеоновград.</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Симеоновград за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НСИ към 31 декември 2020 г. населението на община Симеоновград е 8 923 души и 8 745 към 31 декември 2021 г., което представлява близо 4 % от населението на област Хасково. 80 % от населението на община Симеоновград живее в общинския център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град Симеоновград. Броят на мъжете преобладава във възрастите до 54 години. С нарастването на възрастта се увеличават броят и относителният дял на жените от общото население на общината.</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които функционират на територията на община Симеоновград, към момента на извършване на анализа, разполагат с необходимия брой квалифициран персонал и няма незаети позиции.</w:t>
      </w:r>
    </w:p>
    <w:p>
      <w:pPr>
        <w:keepNext w:val="true"/>
        <w:tabs>
          <w:tab w:val="left" w:pos="862" w:leader="none"/>
        </w:tabs>
        <w:spacing w:before="240" w:after="6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СТАМБОЛОВО</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120" w:line="240"/>
        <w:ind w:right="0" w:left="0" w:firstLine="0"/>
        <w:jc w:val="both"/>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При изготвянето на анализа са използвани официални източници на информация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данни  на НСИ, регистри на Министерството на образованието и науката, Регистри на РЗИ, Общинска администрация Стамболово, ДСП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гр. Харманли, Териториално статистическо бюро (ТСБ), ДБТ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гр. Хасково, Местна комисия за борба с противообществените прояви на малолетни и непълнолетни и др</w:t>
      </w:r>
      <w:r>
        <w:rPr>
          <w:rFonts w:ascii="Times New Roman" w:hAnsi="Times New Roman" w:cs="Times New Roman" w:eastAsia="Times New Roman"/>
          <w:color w:val="000000"/>
          <w:spacing w:val="0"/>
          <w:position w:val="0"/>
          <w:sz w:val="24"/>
          <w:shd w:fill="FFFFFF" w:val="clear"/>
        </w:rPr>
        <w:t xml:space="preserve">.</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Стамболово, към 31.12.2021 г,. е 6383 жители, от тях 1085 деца до 18-годишна възраст. Общия брой на лицата с трайни увреждания е 569, от тях деца 29.</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Стамболово са разкрити 2 социални услуги, които се предоставят на територията на с. Стамболово.</w:t>
      </w:r>
    </w:p>
    <w:tbl>
      <w:tblPr/>
      <w:tblGrid>
        <w:gridCol w:w="3279"/>
        <w:gridCol w:w="2933"/>
        <w:gridCol w:w="2848"/>
      </w:tblGrid>
      <w:tr>
        <w:trPr>
          <w:trHeight w:val="1" w:hRule="atLeast"/>
          <w:jc w:val="center"/>
        </w:trPr>
        <w:tc>
          <w:tcPr>
            <w:tcW w:w="327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z w:val="22"/>
                <w:shd w:fill="auto" w:val="clear"/>
              </w:rPr>
            </w:pPr>
          </w:p>
        </w:tc>
        <w:tc>
          <w:tcPr>
            <w:tcW w:w="293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28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center"/>
        </w:trPr>
        <w:tc>
          <w:tcPr>
            <w:tcW w:w="327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93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8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center"/>
        </w:trPr>
        <w:tc>
          <w:tcPr>
            <w:tcW w:w="327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93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28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Стамболово</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Стамболово е 3 лица. По услуги:</w:t>
      </w:r>
    </w:p>
    <w:tbl>
      <w:tblPr/>
      <w:tblGrid>
        <w:gridCol w:w="3160"/>
        <w:gridCol w:w="5900"/>
      </w:tblGrid>
      <w:tr>
        <w:trPr>
          <w:trHeight w:val="1" w:hRule="atLeast"/>
          <w:jc w:val="center"/>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center"/>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Асистентска подкрепа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Стамболово,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Броят на лицата, които ползват социални услуги на територията на община Стамболово, от други общини е 5.</w:t>
      </w:r>
    </w:p>
    <w:tbl>
      <w:tblPr/>
      <w:tblGrid>
        <w:gridCol w:w="4541"/>
        <w:gridCol w:w="4509"/>
      </w:tblGrid>
      <w:tr>
        <w:trPr>
          <w:trHeight w:val="1" w:hRule="atLeast"/>
          <w:jc w:val="left"/>
        </w:trPr>
        <w:tc>
          <w:tcPr>
            <w:tcW w:w="4541"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09" w:type="dxa"/>
            <w:tcBorders>
              <w:top w:val="single" w:color="000000" w:sz="8"/>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1"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4509"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Стамболово за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демографското развитие на община Стамболово се наблюдава положителна тенденция на нарастване броя на населението. Фактическото нарастване на броя на населението е резултат от механичния, а не от естествения прираст на населението. Най-голям относителен дял в общината има населението в трудоспособна възраст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3 788, </w:t>
      </w:r>
      <w:r>
        <w:rPr>
          <w:rFonts w:ascii="Times New Roman" w:hAnsi="Times New Roman" w:cs="Times New Roman" w:eastAsia="Times New Roman"/>
          <w:color w:val="auto"/>
          <w:spacing w:val="0"/>
          <w:position w:val="0"/>
          <w:sz w:val="24"/>
          <w:shd w:fill="auto" w:val="clear"/>
        </w:rPr>
        <w:t xml:space="preserve">следвано от групата на над трудоспособната възраст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1 668 </w:t>
      </w:r>
      <w:r>
        <w:rPr>
          <w:rFonts w:ascii="Times New Roman" w:hAnsi="Times New Roman" w:cs="Times New Roman" w:eastAsia="Times New Roman"/>
          <w:color w:val="auto"/>
          <w:spacing w:val="0"/>
          <w:position w:val="0"/>
          <w:sz w:val="24"/>
          <w:shd w:fill="auto" w:val="clear"/>
        </w:rPr>
        <w:t xml:space="preserve">човека, докато групата в подтрудоспособна възраст е най-малка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927 </w:t>
      </w:r>
      <w:r>
        <w:rPr>
          <w:rFonts w:ascii="Times New Roman" w:hAnsi="Times New Roman" w:cs="Times New Roman" w:eastAsia="Times New Roman"/>
          <w:color w:val="auto"/>
          <w:spacing w:val="0"/>
          <w:position w:val="0"/>
          <w:sz w:val="24"/>
          <w:shd w:fill="auto" w:val="clear"/>
        </w:rPr>
        <w:t xml:space="preserve">души. Тези данни показват един сериозен процес на застаряване на местното население. Голяма част от лицата в трудоспособна възраст са извън страната и в големите градове. Община Стамболово е една от общините, в които раждаемостта е изключително ниска.</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които функционират на територията на община Стамболово към момента на извършване на анализа, разполагат с необходимия брой квалифициран персонал и няма незаети позиции.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След направеното проучване от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 гр. Хасково предвид осигуряване на работна ръка в социалните услуги на територията на община Стамболово няма данни за наличието на лица с медицинско образование, с образование в областта на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Хуманитарните науки“ или с предишен опит в социалните услуги и други. В ЦОП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Стамболово има текучество на тясно профилирани специалисти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психолог, логопед, социален педагог и др.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Неатрактивното заплащане, липсата на специалисти от общината, допълнителните разходи за транспорт (личен или обществен), както и по-големият разход на време, свързан с пътуването до работното място, прави наемането на персонал значително по-трудно.</w:t>
      </w:r>
    </w:p>
    <w:p>
      <w:pPr>
        <w:keepNext w:val="true"/>
        <w:tabs>
          <w:tab w:val="left" w:pos="862" w:leader="none"/>
        </w:tabs>
        <w:spacing w:before="240" w:after="6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ТОПОЛОВГРАД</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са използвани официални източници на информация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НСИ, общинска администрация,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Тополовград,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Тополовград, Звено за социални услуги и др.</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Тополовград, към 31.12.2021 г. е 9115 жители, от тях 1400 деца до 18-годишна възраст. Общия брой на лицата с трайни увреждания е 909, от тях деца 25.</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Тополовград са разкрити 2 социални услуги, и двете се предоставят в гр. Тополовград. Общият капацитет на социалните услуги е за 93 потребители, в т.ч. 38 асистентска подкрепа.</w:t>
      </w:r>
    </w:p>
    <w:tbl>
      <w:tblPr/>
      <w:tblGrid>
        <w:gridCol w:w="3264"/>
        <w:gridCol w:w="2970"/>
        <w:gridCol w:w="2826"/>
      </w:tblGrid>
      <w:tr>
        <w:trPr>
          <w:trHeight w:val="1" w:hRule="atLeast"/>
          <w:jc w:val="center"/>
        </w:trPr>
        <w:tc>
          <w:tcPr>
            <w:tcW w:w="326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z w:val="22"/>
                <w:shd w:fill="auto" w:val="clear"/>
              </w:rPr>
            </w:pPr>
          </w:p>
        </w:tc>
        <w:tc>
          <w:tcPr>
            <w:tcW w:w="29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w:t>
            </w:r>
          </w:p>
        </w:tc>
        <w:tc>
          <w:tcPr>
            <w:tcW w:w="28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center"/>
        </w:trPr>
        <w:tc>
          <w:tcPr>
            <w:tcW w:w="326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9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8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center"/>
        </w:trPr>
        <w:tc>
          <w:tcPr>
            <w:tcW w:w="326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9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55</w:t>
            </w:r>
          </w:p>
        </w:tc>
        <w:tc>
          <w:tcPr>
            <w:tcW w:w="28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38</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Тополовград</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регистрирани лица, които да желаят да ползват услугата ЦСРИ в гр. Тополовград. Общият брой чакащите лица за Асистентска подкрепа е 35 лица. По услуги:</w:t>
      </w:r>
    </w:p>
    <w:tbl>
      <w:tblPr/>
      <w:tblGrid>
        <w:gridCol w:w="3160"/>
        <w:gridCol w:w="5900"/>
      </w:tblGrid>
      <w:tr>
        <w:trPr>
          <w:trHeight w:val="1" w:hRule="atLeast"/>
          <w:jc w:val="center"/>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center"/>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Асистентска подкрепа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35</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Тополовград,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 в двете услуги, функциониращи на територията на Община Тополовград, няма потребители от други общини.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Тополовград за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Тенденциите, като намаляваща раждаемост и застаряване на населението, се наблюдават и в останалите общини на област Хасково и са симптоматични за страната като цяло, но в община Тополовград са силно изразени. В допълнение продължават да се наблюдават и задълбочават негативни тенденции, като по-високи нива на смъртност и интензивна външна миграция. Комбинацията от тези негативни процеси дава основание да се говори за демографска криза и изправя сериозни предизвикателства пред бъдещото функциониране на системите на социално осигуряване и подпомагане, здравеопазване, образование и публични финанси в общината.</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които функционират на територията на община Тополовград към момента на извършване на анализа, разполагат с необходимия брой квалифициран персонал и няма незаети позиции.</w:t>
      </w:r>
    </w:p>
    <w:p>
      <w:pPr>
        <w:keepNext w:val="true"/>
        <w:tabs>
          <w:tab w:val="left" w:pos="862" w:leader="none"/>
        </w:tabs>
        <w:spacing w:before="240" w:after="6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ХАРМАНЛИ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са използвани официални източници на информация - НСИ, Общинска администрация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отдел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Образование и социални дейности“,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Харманли,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Харманли, ТСБ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Хасково, Доставчици на услуги в общината и областта и др. Отказ за предоставяне на информация е получен единствено от Регионална здравна инспекция (РЗИ)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Хасково.</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Харманли, към 31.12.2021 г. е 24 113 жители, от тях 4 898 деца до 18-годишна възраст. Общия брой на лицата с трайни увреждания е 2 380, от тях деца 102.</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Харманли са разкрити 4 социални услуги и 1 специализирана институция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ДСХ, всички социални услуги функционират на територията на гр. Харманли. Общият капацитет на социалните услуги е за 181 потребители, в т.ч. 67 асистентска подкрепа.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850"/>
        <w:gridCol w:w="1321"/>
        <w:gridCol w:w="1352"/>
        <w:gridCol w:w="1651"/>
        <w:gridCol w:w="1658"/>
        <w:gridCol w:w="1228"/>
      </w:tblGrid>
      <w:tr>
        <w:trPr>
          <w:trHeight w:val="1" w:hRule="atLeast"/>
          <w:jc w:val="left"/>
        </w:trPr>
        <w:tc>
          <w:tcPr>
            <w:tcW w:w="18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z w:val="22"/>
                <w:shd w:fill="auto" w:val="clear"/>
              </w:rPr>
            </w:pPr>
          </w:p>
        </w:tc>
        <w:tc>
          <w:tcPr>
            <w:tcW w:w="13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13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16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ЦНСТДУ</w:t>
            </w:r>
          </w:p>
        </w:tc>
        <w:tc>
          <w:tcPr>
            <w:tcW w:w="16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ДЦДПЛУ</w:t>
            </w:r>
          </w:p>
        </w:tc>
        <w:tc>
          <w:tcPr>
            <w:tcW w:w="1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left"/>
        </w:trPr>
        <w:tc>
          <w:tcPr>
            <w:tcW w:w="18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3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3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6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6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8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3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c>
          <w:tcPr>
            <w:tcW w:w="13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6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16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67</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Харманли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Желаещи да ползват социални услуги на територията на община Харманли има единствено за социалната услуга Асистентска подкрепа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лице. По услуги:</w:t>
      </w: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Асистентска подкрепа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Харманли,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Харманли, от други общини, е 34.</w:t>
      </w:r>
    </w:p>
    <w:p>
      <w:pPr>
        <w:spacing w:before="0" w:after="120" w:line="240"/>
        <w:ind w:right="0" w:left="0" w:firstLine="708"/>
        <w:jc w:val="both"/>
        <w:rPr>
          <w:rFonts w:ascii="Times New Roman" w:hAnsi="Times New Roman" w:cs="Times New Roman" w:eastAsia="Times New Roman"/>
          <w:color w:val="auto"/>
          <w:spacing w:val="0"/>
          <w:position w:val="0"/>
          <w:sz w:val="24"/>
          <w:shd w:fill="auto" w:val="clear"/>
        </w:rPr>
      </w:pPr>
    </w:p>
    <w:tbl>
      <w:tblPr/>
      <w:tblGrid>
        <w:gridCol w:w="4541"/>
        <w:gridCol w:w="4509"/>
      </w:tblGrid>
      <w:tr>
        <w:trPr>
          <w:trHeight w:val="1" w:hRule="atLeast"/>
          <w:jc w:val="left"/>
        </w:trPr>
        <w:tc>
          <w:tcPr>
            <w:tcW w:w="4541"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09" w:type="dxa"/>
            <w:tcBorders>
              <w:top w:val="single" w:color="000000" w:sz="8"/>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1"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4509"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r>
        <w:trPr>
          <w:trHeight w:val="1" w:hRule="atLeast"/>
          <w:jc w:val="left"/>
        </w:trPr>
        <w:tc>
          <w:tcPr>
            <w:tcW w:w="4541"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ЦНСТДУ</w:t>
            </w:r>
          </w:p>
        </w:tc>
        <w:tc>
          <w:tcPr>
            <w:tcW w:w="4509"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541"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4509"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Харманли за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Населението в община Харманли през периода 2017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2021 </w:t>
      </w:r>
      <w:r>
        <w:rPr>
          <w:rFonts w:ascii="Times New Roman" w:hAnsi="Times New Roman" w:cs="Times New Roman" w:eastAsia="Times New Roman"/>
          <w:color w:val="auto"/>
          <w:spacing w:val="0"/>
          <w:position w:val="0"/>
          <w:sz w:val="24"/>
          <w:shd w:fill="auto" w:val="clear"/>
        </w:rPr>
        <w:t xml:space="preserve">г. намалява с 1 591 души, като се наблюдава намаление за разглеждания 5 годишен период с 6 %. Това се дължи на увеличаващия се брой на смъртността в общината, като стойността ѝ е най-ниска през 2018 г., а най-висока през 2021 г., както и сравнително устойчивата тенденция на раждаемостта в разглеждания период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същата намалява с 2 %, като впечатление прави скок нагоре от 10 % в броя през 2021 г., в сравнение с предходната 2020 г.</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Механичният прираст показва тенденция за цялостно намаление на населението в общината, в резултат на преобладаването на хората, които се изселват. </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предоставените данни за наличните социални услуги на територията на община Харманли е видно, че в някои от тях е необходима промяна в общия брой служители по щатно разписание, а по-конкретно тяхното увеличение, с цел постигането на съответствие с изискванията за брой, квалификация и състав на служителите, заложени в стандартите за качество по НКСУ. Назначените към настоящия момент служители отговарят на изискванията за квалификация и състав на служителите за този тип социални услуги. </w:t>
      </w:r>
    </w:p>
    <w:p>
      <w:pPr>
        <w:keepNext w:val="true"/>
        <w:tabs>
          <w:tab w:val="left" w:pos="862" w:leader="none"/>
        </w:tabs>
        <w:spacing w:before="240" w:after="6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ХАСКОВО</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са използвани официални източници на информация- Национален статистически институт, ДСП, РЗИ, РУО, ДБТ, ЦПЗ, доставчици на съществуващите социални услуги на територията на Община Хасково.</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Относно критерии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15 </w:t>
      </w:r>
      <w:r>
        <w:rPr>
          <w:rFonts w:ascii="Times New Roman" w:hAnsi="Times New Roman" w:cs="Times New Roman" w:eastAsia="Times New Roman"/>
          <w:color w:val="auto"/>
          <w:spacing w:val="0"/>
          <w:position w:val="0"/>
          <w:sz w:val="24"/>
          <w:shd w:fill="auto" w:val="clear"/>
        </w:rPr>
        <w:t xml:space="preserve">и 16, а именно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общ брой на пълнолетните лица с интелектуални затруднения“ 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брой на пълнолетните лица с интелектуални затруднения в невъзможност за самообслужване, живеещи в домашна среда“ в общината няма постъпила информация.</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Информацията предоставена от РУО и РЗИ е непълна, не съответства на критериите и не може да се ползва за нуждите на анализа. РКМЕ не е предоставила исканата информация.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Хасково, към 31.12.2021 г. е 83 632 жители, от тях 13 213 деца до 18-годишна възраст. Общия брой на лицата с трайни увреждания е 8 125, от тях деца 502.</w:t>
      </w:r>
    </w:p>
    <w:p>
      <w:pPr>
        <w:spacing w:before="0" w:after="12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Хасково са разкрити 11 социални услуги и всички  те функционират на територията на гр. Хасково. Общият капацитет на социалните услуги е за 586 потребители, в т.ч. 208 асистентска подкрепа.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839"/>
        <w:gridCol w:w="1298"/>
        <w:gridCol w:w="1555"/>
        <w:gridCol w:w="1413"/>
        <w:gridCol w:w="1416"/>
        <w:gridCol w:w="1539"/>
      </w:tblGrid>
      <w:tr>
        <w:trPr>
          <w:trHeight w:val="1" w:hRule="atLeast"/>
          <w:jc w:val="left"/>
        </w:trPr>
        <w:tc>
          <w:tcPr>
            <w:tcW w:w="18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z w:val="22"/>
                <w:shd w:fill="auto" w:val="clear"/>
              </w:rPr>
            </w:pPr>
          </w:p>
        </w:tc>
        <w:tc>
          <w:tcPr>
            <w:tcW w:w="129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155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ДЦДМУ</w:t>
            </w:r>
          </w:p>
        </w:tc>
        <w:tc>
          <w:tcPr>
            <w:tcW w:w="14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ДЦДУ</w:t>
            </w:r>
          </w:p>
        </w:tc>
        <w:tc>
          <w:tcPr>
            <w:tcW w:w="1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ДЦСХ</w:t>
            </w:r>
          </w:p>
        </w:tc>
        <w:tc>
          <w:tcPr>
            <w:tcW w:w="15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ДЦПЛУ</w:t>
            </w:r>
          </w:p>
        </w:tc>
      </w:tr>
      <w:tr>
        <w:trPr>
          <w:trHeight w:val="1" w:hRule="atLeast"/>
          <w:jc w:val="left"/>
        </w:trPr>
        <w:tc>
          <w:tcPr>
            <w:tcW w:w="18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29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5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8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29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160</w:t>
            </w:r>
          </w:p>
        </w:tc>
        <w:tc>
          <w:tcPr>
            <w:tcW w:w="155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42</w:t>
            </w:r>
          </w:p>
        </w:tc>
        <w:tc>
          <w:tcPr>
            <w:tcW w:w="14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5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833"/>
        <w:gridCol w:w="1314"/>
        <w:gridCol w:w="1771"/>
        <w:gridCol w:w="1727"/>
        <w:gridCol w:w="1227"/>
        <w:gridCol w:w="1186"/>
      </w:tblGrid>
      <w:tr>
        <w:trPr>
          <w:trHeight w:val="1" w:hRule="atLeast"/>
          <w:jc w:val="left"/>
        </w:trPr>
        <w:tc>
          <w:tcPr>
            <w:tcW w:w="183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z w:val="22"/>
                <w:shd w:fill="auto" w:val="clear"/>
              </w:rPr>
            </w:pPr>
          </w:p>
        </w:tc>
        <w:tc>
          <w:tcPr>
            <w:tcW w:w="13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17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ЦНСТДМУ</w:t>
            </w:r>
          </w:p>
        </w:tc>
        <w:tc>
          <w:tcPr>
            <w:tcW w:w="17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ЦНСТДБУ</w:t>
            </w:r>
          </w:p>
        </w:tc>
        <w:tc>
          <w:tcPr>
            <w:tcW w:w="12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ПЖ</w:t>
            </w:r>
          </w:p>
        </w:tc>
        <w:tc>
          <w:tcPr>
            <w:tcW w:w="11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left"/>
        </w:trPr>
        <w:tc>
          <w:tcPr>
            <w:tcW w:w="183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3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7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83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3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60</w:t>
            </w:r>
          </w:p>
        </w:tc>
        <w:tc>
          <w:tcPr>
            <w:tcW w:w="17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28</w:t>
            </w:r>
          </w:p>
        </w:tc>
        <w:tc>
          <w:tcPr>
            <w:tcW w:w="17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12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1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208</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Хасково</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Желаещи да ползват социални услуги на територията на община Харманли има единствено за социалната услуга Асистентска подкрепа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30 </w:t>
      </w:r>
      <w:r>
        <w:rPr>
          <w:rFonts w:ascii="Times New Roman" w:hAnsi="Times New Roman" w:cs="Times New Roman" w:eastAsia="Times New Roman"/>
          <w:color w:val="auto"/>
          <w:spacing w:val="0"/>
          <w:position w:val="0"/>
          <w:sz w:val="24"/>
          <w:shd w:fill="auto" w:val="clear"/>
        </w:rPr>
        <w:t xml:space="preserve">бр. По услуги:</w:t>
      </w: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Асистентска подкрепа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Хасково, различна от  общината по настоящ адрес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Хасково, от други общини е 88. </w:t>
      </w:r>
    </w:p>
    <w:tbl>
      <w:tblPr/>
      <w:tblGrid>
        <w:gridCol w:w="4541"/>
        <w:gridCol w:w="4509"/>
      </w:tblGrid>
      <w:tr>
        <w:trPr>
          <w:trHeight w:val="1" w:hRule="atLeast"/>
          <w:jc w:val="left"/>
        </w:trPr>
        <w:tc>
          <w:tcPr>
            <w:tcW w:w="4541"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09" w:type="dxa"/>
            <w:tcBorders>
              <w:top w:val="single" w:color="000000" w:sz="8"/>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1"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4509"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50</w:t>
            </w:r>
          </w:p>
        </w:tc>
      </w:tr>
      <w:tr>
        <w:trPr>
          <w:trHeight w:val="1" w:hRule="atLeast"/>
          <w:jc w:val="left"/>
        </w:trPr>
        <w:tc>
          <w:tcPr>
            <w:tcW w:w="4541" w:type="dxa"/>
            <w:tcBorders>
              <w:top w:val="single" w:color="000000" w:sz="0"/>
              <w:left w:val="single" w:color="000000" w:sz="8"/>
              <w:bottom w:val="single" w:color="000000" w:sz="4"/>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4509" w:type="dxa"/>
            <w:tcBorders>
              <w:top w:val="single" w:color="000000" w:sz="0"/>
              <w:left w:val="single" w:color="000000" w:sz="0"/>
              <w:bottom w:val="single" w:color="000000" w:sz="4"/>
              <w:right w:val="single" w:color="000000" w:sz="8"/>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5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4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w:t>
            </w:r>
          </w:p>
        </w:tc>
      </w:tr>
      <w:tr>
        <w:trPr>
          <w:trHeight w:val="1" w:hRule="atLeast"/>
          <w:jc w:val="left"/>
        </w:trPr>
        <w:tc>
          <w:tcPr>
            <w:tcW w:w="45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4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r>
      <w:tr>
        <w:trPr>
          <w:trHeight w:val="1" w:hRule="atLeast"/>
          <w:jc w:val="left"/>
        </w:trPr>
        <w:tc>
          <w:tcPr>
            <w:tcW w:w="45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4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bl>
    <w:p>
      <w:pPr>
        <w:spacing w:before="0" w:after="12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Хасково за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През последните пет години / 2017 г. - 2021 г. / населението на община Хасково се възобновява с минимални темпове. За община Хасково естественият прираст за 2021 година е отрицателен.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Отрицателната динамика в броя на населението на общината се дължи не само на отрицателния естествен прираст на населението, а и на отрицателните стойности на механичния прираст. Повишаването в броя на изселените над броя на заселените лица формира и отрицателните стойности на механичния прираст.</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Общата констатация за количествените параметри на населението е, че в общината е налице стагниращо демографско състояние. То се изразява в относително устойчиво намаляване на броя на населението, което не е с високи стойности. Това е резултат от отрицателния естествен и отрицателния механичен прираст, които също не са високи.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предоставените данни за наличните социални услуги на територията на община Хасково е видно, че в част от услугите има незаети длъжности, в частност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психолог, медицинска сестра, рехабилитатор, социален работник, медицински специалист и асистент. Към края на 2022 година община Хасково е организирала регулярни обучения и супервизии, на различни теми свързани с работния процес в услугите, запознаване с новостите в нормативната база, управлението и други.</w:t>
      </w:r>
    </w:p>
    <w:p>
      <w:pPr>
        <w:keepNext w:val="true"/>
        <w:spacing w:before="360" w:after="120" w:line="240"/>
        <w:ind w:right="0" w:left="576" w:hanging="576"/>
        <w:jc w:val="both"/>
        <w:rPr>
          <w:rFonts w:ascii="Times New Roman" w:hAnsi="Times New Roman" w:cs="Times New Roman" w:eastAsia="Times New Roman"/>
          <w:b/>
          <w:color w:val="003366"/>
          <w:spacing w:val="0"/>
          <w:position w:val="0"/>
          <w:sz w:val="28"/>
          <w:shd w:fill="auto" w:val="clear"/>
        </w:rPr>
      </w:pPr>
      <w:r>
        <w:rPr>
          <w:rFonts w:ascii="Times New Roman" w:hAnsi="Times New Roman" w:cs="Times New Roman" w:eastAsia="Times New Roman"/>
          <w:b/>
          <w:color w:val="003366"/>
          <w:spacing w:val="0"/>
          <w:position w:val="0"/>
          <w:sz w:val="24"/>
          <w:shd w:fill="auto" w:val="clear"/>
        </w:rPr>
        <w:t xml:space="preserve">АНАЛИЗ НА ПОТРЕБНОСТИТЕ В ОБЛАСТ ХАСКОВО</w:t>
      </w:r>
      <w:r>
        <w:rPr>
          <w:rFonts w:ascii="Times New Roman" w:hAnsi="Times New Roman" w:cs="Times New Roman" w:eastAsia="Times New Roman"/>
          <w:b/>
          <w:color w:val="003366"/>
          <w:spacing w:val="0"/>
          <w:position w:val="0"/>
          <w:sz w:val="28"/>
          <w:shd w:fill="auto" w:val="clear"/>
        </w:rPr>
        <w:t xml:space="preserve"> (обобщено)</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обобщени за област Хасково по общини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общините от област Хасково информацията за населението по критериите съгласно Наредбата за планиране на социалните услуги е получена от Териториално поделение на НОИ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Хасково, информационна система ГРАО на общините, ДСП, ДБТ, РУО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Хасково, ДРСЗ - Хасково, кметове и кметски наместници, доставчици на социални услуги и др.</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област Хасково, към 31.12.2021 г. е 224 441 жители, от тях 37 753 деца до 18-годишна възраст, броят на пълнолетните лица е 179 637. Общия брой на лицата с трайни увреждания е 20 663, от тях деца 1147.</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областта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брои на социалните услуги на територията на област Хасково е 45 с 1572 потребители. Броят на социалните услуги за пълнолетни лица е 27, с 1104 потребители.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графиките е видно, че на територията на областта преобладават консултативните услуги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ДЦ, ЦСРИ, ЦОП)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18 </w:t>
      </w:r>
      <w:r>
        <w:rPr>
          <w:rFonts w:ascii="Times New Roman" w:hAnsi="Times New Roman" w:cs="Times New Roman" w:eastAsia="Times New Roman"/>
          <w:color w:val="auto"/>
          <w:spacing w:val="0"/>
          <w:position w:val="0"/>
          <w:sz w:val="24"/>
          <w:shd w:fill="auto" w:val="clear"/>
        </w:rPr>
        <w:t xml:space="preserve">услуги за 566 потребители, услугите, които се предоставят в домашна среда (АП) са с общ брой 11 за 630 потребители, услугите, които се предоставят в специализирана институция (ДСХ) са 3 на брой за 220 потребители и услугите за резидентна грижа (ЦНСТ, КЦ, ПЖ, ЗЖ, ЦВН)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13 </w:t>
      </w:r>
      <w:r>
        <w:rPr>
          <w:rFonts w:ascii="Times New Roman" w:hAnsi="Times New Roman" w:cs="Times New Roman" w:eastAsia="Times New Roman"/>
          <w:color w:val="auto"/>
          <w:spacing w:val="0"/>
          <w:position w:val="0"/>
          <w:sz w:val="24"/>
          <w:shd w:fill="auto" w:val="clear"/>
        </w:rPr>
        <w:t xml:space="preserve">на брой за 156 потребители.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за деца са 18 със 468 потребители.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област Хасково</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Общо 123 лица са включени в списъците на чакащите за ползване на социални услуги в териториалния обхват на област Хасково. Най-голям е и броят на лицата, желаещи да ползват социалната услуга Асистентска подкрепа.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037"/>
        <w:gridCol w:w="5023"/>
      </w:tblGrid>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Асистентска подкрепа</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111</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ЦНСТПЛД</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ЦВН </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Общо</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123</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област Хасково, различна от  общината по настоящ адрес</w:t>
      </w:r>
    </w:p>
    <w:p>
      <w:pPr>
        <w:spacing w:before="0" w:after="12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120" w:line="240"/>
        <w:ind w:right="0" w:left="0" w:firstLine="635"/>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635"/>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и интегрирани здравно-социални услуги на територията на област Хасково, различна от общината по настоящ адрес е 196.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Най-голям е техният брой в социалните услуги на територията на общините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Хасково, Димитровград и Харманли, следвани от общините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Свиленград, Ивайловград и Стамболово. В Хасково и Харманли, в които броят на ползващите услугите е най-голям, са ситуирани 2 специализирани институции ДСХ. В общините Минерални бани, Маджарово и Любимец се предоставя единствено Асистентска подкрепа и потребителите са от съответната община. В Тополовград се предоставя и социалната услуга ЦСРИ, а в Симеоновград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ЦСРИ и ЦОП, но лицата, които ги ползват живеят на тяхната територия.</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Впечатление прави, че потребителите на услугите, в по-голямата част, са от общините на територията на областта.</w:t>
      </w:r>
    </w:p>
    <w:p>
      <w:pPr>
        <w:spacing w:before="0" w:after="12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следващата графика е представено сравнение между функциониращите към момента социални услуги, финансирани от държавния бюджет, съотнесени към социалните услуги по чл. 15 от ЗСУ, максималния брой потребители, съгласно критериите по Наредбата за планиране на социалните услуги и поетите ангажименти от общините в областта.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област Хасково за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Анализа на данните на демографското развитие в област Хасково за периода 2021 г.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2017 </w:t>
      </w:r>
      <w:r>
        <w:rPr>
          <w:rFonts w:ascii="Times New Roman" w:hAnsi="Times New Roman" w:cs="Times New Roman" w:eastAsia="Times New Roman"/>
          <w:color w:val="auto"/>
          <w:spacing w:val="0"/>
          <w:position w:val="0"/>
          <w:sz w:val="24"/>
          <w:shd w:fill="auto" w:val="clear"/>
        </w:rPr>
        <w:t xml:space="preserve">г. показва, че продължават неблагоприятните демографски тенденции, формирани още в края на миналия век. Динамиката следва трайна тенденция на намаляване на населението. Тенденциите, като намаляваща раждаемост и застаряване на населението са силно изразени. В допълнение продължават да се наблюдават и задълбочават негативни тенденции, като по-високи нива на смъртност и интензивна външна миграция. </w:t>
      </w:r>
    </w:p>
    <w:p>
      <w:pPr>
        <w:tabs>
          <w:tab w:val="left" w:pos="709" w:leader="none"/>
        </w:tabs>
        <w:suppressAutoHyphens w:val="true"/>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Трайните тенденции на демографски неравновесия между раждаемост и смъртност се допълват от засилени емиграционни вълни, най-вече на млади хора в трудоспособна възраст, което се оказва критично за местния пазар на труда. </w:t>
      </w:r>
    </w:p>
    <w:p>
      <w:pPr>
        <w:tabs>
          <w:tab w:val="left" w:pos="709" w:leader="none"/>
        </w:tabs>
        <w:suppressAutoHyphens w:val="true"/>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Процесът на намаление на населението, характерен за страната като цяло, за Южен централен регион и област Хасково, не се наблюдава в община Минерални бани.  Очертаните тенденции в естественото движение на населението бележат възпроизводство с отрицателен естествен прираст, но с по-нисък интензитет през последните години.</w:t>
      </w:r>
    </w:p>
    <w:p>
      <w:pPr>
        <w:tabs>
          <w:tab w:val="left" w:pos="709" w:leader="none"/>
        </w:tabs>
        <w:suppressAutoHyphens w:val="true"/>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демографското развитие на община Стамболово пък се наблюдава положителна тенденция за нарастване броя на населението, където фактическото нарастване на броя на населението е резултат от механичния, а не на естествения прираст на населението.</w:t>
      </w:r>
    </w:p>
    <w:p>
      <w:pPr>
        <w:tabs>
          <w:tab w:val="left" w:pos="709" w:leader="none"/>
        </w:tabs>
        <w:suppressAutoHyphens w:val="true"/>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Тенденциите, като намаляваща раждаемост и застаряване на населението, се наблюдават в почти всички общини на област Хасково и са симптоматични за страната като цяло, но в община Тополовград са силно изразени, а в община Свиленград се наблюдават почти двойно по-бързи темпове на намаляване на населението.</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 оглед количествените параметри на населението в община Хасково е видно, че е налице стагниращо демографско състояние, което се изразява в относително устойчиво намаляване на броя на населението със сравнително ниски стойности. Това е резултат от отрицателния естествен и отрицателния механичен прираст, които също не са високи.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на територията на област Хасково</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представените данни става ясно, че необходимите служители за функционирането на съществуващите социални услуги в област Хасково са достатъчно, с малки изключения на незаети длъжности в някои от общините: психолог, медицинска сестра, рехабилитатор, социален работник, медицински специалист и асистент. В преобладаващите социални услуги за деца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ЦОП, се забелязва, че има текучество на тясно профилирани специалисти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психолог, логопед, социален педагог и др.</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Прави впечатление, че част от наетите служители в социалните услуги са в предпенсионна и/или пенсионна възраст. Поради тази причина е съществена липсата на помощен персонал в  някои от социалните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Генерален проблем, засягащ повечето от общините в областта, е липсата на мотивация в новозавършилите специалисти в социалната сфера за работа в услугите, поради ниското заплащане в сектора.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Видно е, че общините, като доставчици на социалните услуги, подкрепят служителите чрез провеждане на поддържащи обучения, супервизии и работни срещи, насочени към повишаване на професионалните умения и подобряване качеството на грижа спрямо потребителите. </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Хасково</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Осигуряването на равен достъп до разнообразен спектър от социални услуги на всички лица, които имат необходимост от подкрепа или социална реализация на права, е ключов фактор в социалната политика на територията на страната, но в област Хасково се наблюдава стагнация по отношение настоящото състояние на услугите и бъдещото развитие на нови и различни от наличните дейности за подкрепа на децата и пълнолетните лица чрез социални услуги. На база на представената информация може да се направят следните изводи:</w:t>
      </w:r>
    </w:p>
    <w:p>
      <w:pPr>
        <w:spacing w:before="0" w:after="120" w:line="240"/>
        <w:ind w:right="0" w:left="0" w:firstLine="63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най-голям брой са консултативните социални услуги, като е видно, че преобладават услугите за деца и въпреки техния брой, в областта се наблюдава недостиг на такива, както и необходимост от увеличаване на броя на местата или създаване на нови. Общините в областта са предприели съответните действия в посока увеличаване на настоящия брой места в услугите, с оглед достигане на установената необходимост от критериите по НПСУ. </w:t>
      </w:r>
    </w:p>
    <w:p>
      <w:pPr>
        <w:spacing w:before="0" w:after="120" w:line="240"/>
        <w:ind w:right="0" w:left="0" w:firstLine="63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областта броят на услугите за дневна грижа за пълнолетните лица с трайни увреждания е недостатъчен, изведената потребност от този вид услуга многократно надвишава броя на съществуващите към момента такива, като броят на местата, които се планират на областно ниво е прекалено малък;</w:t>
      </w:r>
    </w:p>
    <w:p>
      <w:pPr>
        <w:spacing w:before="0" w:after="120" w:line="240"/>
        <w:ind w:right="0" w:left="0" w:firstLine="63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анализа на данните е видно, че броят на желаещите да ползват Асистентска подкрепа е най-голям в сравнение с този на желаещите да ползват другите услуги на територията на областта, от същото се извежда необходимостта броят на потребителите да бъде увеличен, но нито една от общините в област Хасково не е предприела действия в тази насока; </w:t>
      </w:r>
    </w:p>
    <w:p>
      <w:pPr>
        <w:spacing w:before="0" w:after="120" w:line="240"/>
        <w:ind w:right="0" w:left="0" w:firstLine="63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 територията на областта няма съществуващи интегрирани здравно-социални услуги и потребността от същите е със сравнително ниски стойности. Нито една община не е пожелала създаването поне на една такава услуга на своята територия, което означава, че децата, пълнолетните и възрастните хора в надтрудоспособна възраст, които имат необходимост от постоянни медицински грижи няма да получат нужната подкрепа за удовлетворяване на специфичните им потребности в съответните услуги, целящи именно това;</w:t>
      </w:r>
    </w:p>
    <w:p>
      <w:pPr>
        <w:spacing w:before="0" w:after="120" w:line="240"/>
        <w:ind w:right="0" w:left="0" w:firstLine="63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Общият брой на лицата с трайни увреждания в област Хасково е на стойност около 20 хил. лица, като потребността от различни резидентни услуги за лица с трайни увреждания, предимно пълнолетни с психични разстрийства, интелектуални затруднения, физически увреждания, както и лица в надтрудоспособна възраст е доста висока. Предвид същото действията на общините следва да са насочени в посока увеличаване на броя на местата в съществуващите услуги или създаване на нови. Общините на територията на областта не предприемат действия, съответстващи на потребностите на населението в областта.</w:t>
      </w:r>
    </w:p>
    <w:p>
      <w:pPr>
        <w:spacing w:before="0" w:after="120" w:line="240"/>
        <w:ind w:right="0" w:left="0" w:firstLine="63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областта се предвижда създаване на нова социална услуга за осигуряване на подслон за лица в кризисна ситуация. За услугите за осигуряване на подслон за лица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деца и пълнолетни, пострадали от домашно насилие или жертви на трафик е инициирано увеличаване на броя на съществуващите места, като същото не кореспондира в цялост с изчислената по критериите по НПСУ потребност за тези две социални услуги. </w:t>
      </w:r>
    </w:p>
    <w:p>
      <w:pPr>
        <w:keepNext w:val="true"/>
        <w:numPr>
          <w:ilvl w:val="0"/>
          <w:numId w:val="9971"/>
        </w:numPr>
        <w:tabs>
          <w:tab w:val="left" w:pos="718" w:leader="none"/>
          <w:tab w:val="left" w:pos="576" w:leader="none"/>
        </w:tabs>
        <w:spacing w:before="360" w:after="120" w:line="240"/>
        <w:ind w:right="0" w:left="576" w:hanging="576"/>
        <w:jc w:val="both"/>
        <w:rPr>
          <w:rFonts w:ascii="Times New Roman" w:hAnsi="Times New Roman" w:cs="Times New Roman" w:eastAsia="Times New Roman"/>
          <w:b/>
          <w:color w:val="003366"/>
          <w:spacing w:val="0"/>
          <w:position w:val="0"/>
          <w:sz w:val="28"/>
          <w:shd w:fill="auto" w:val="clear"/>
        </w:rPr>
      </w:pPr>
      <w:r>
        <w:rPr>
          <w:rFonts w:ascii="Times New Roman" w:hAnsi="Times New Roman" w:cs="Times New Roman" w:eastAsia="Times New Roman"/>
          <w:b/>
          <w:color w:val="003366"/>
          <w:spacing w:val="0"/>
          <w:position w:val="0"/>
          <w:sz w:val="28"/>
          <w:shd w:fill="auto" w:val="clear"/>
        </w:rPr>
        <w:t xml:space="preserve">ОБЛАСТ ПАЗАРДЖИК </w:t>
      </w:r>
    </w:p>
    <w:p>
      <w:pPr>
        <w:keepNext w:val="true"/>
        <w:tabs>
          <w:tab w:val="left" w:pos="862" w:leader="none"/>
        </w:tabs>
        <w:spacing w:before="240" w:after="6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БАТАК</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Батак информацията за населението по настоящ адрес е получена от Институциите на областно ниво - НСИ гр. Пазарджик; Общинска администрация, Д”БТ” и Д”СП” гр. Батак</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Батак, към 31.12.2021 г. е 5 008 жители, от тях 682 деца до 18-годишна възраст. Общият брой на лицата с трайни увреждания е 755, от тях деца 11.</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Батак са разкрити 6 социални услуги, които се предоставят на територията на гр. Батак. Общият капацитет на социалните услуги е за 111 потребители, в т.ч. 18 асистентска подкрепа.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588"/>
        <w:gridCol w:w="915"/>
        <w:gridCol w:w="1275"/>
        <w:gridCol w:w="1122"/>
        <w:gridCol w:w="1652"/>
        <w:gridCol w:w="1622"/>
        <w:gridCol w:w="886"/>
      </w:tblGrid>
      <w:tr>
        <w:trPr>
          <w:trHeight w:val="269" w:hRule="auto"/>
          <w:jc w:val="center"/>
        </w:trPr>
        <w:tc>
          <w:tcPr>
            <w:tcW w:w="15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z w:val="22"/>
                <w:shd w:fill="auto" w:val="clear"/>
              </w:rPr>
            </w:pPr>
          </w:p>
        </w:tc>
        <w:tc>
          <w:tcPr>
            <w:tcW w:w="91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ДЦСХ</w:t>
            </w:r>
          </w:p>
        </w:tc>
        <w:tc>
          <w:tcPr>
            <w:tcW w:w="127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ЦСРИПЛ</w:t>
            </w:r>
          </w:p>
        </w:tc>
        <w:tc>
          <w:tcPr>
            <w:tcW w:w="112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ЗЖЛУИ</w:t>
            </w:r>
          </w:p>
        </w:tc>
        <w:tc>
          <w:tcPr>
            <w:tcW w:w="16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ЦНСТПЛУИ</w:t>
            </w:r>
          </w:p>
        </w:tc>
        <w:tc>
          <w:tcPr>
            <w:tcW w:w="162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ЦНСТПЛПР</w:t>
            </w:r>
          </w:p>
        </w:tc>
        <w:tc>
          <w:tcPr>
            <w:tcW w:w="88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243" w:hRule="auto"/>
          <w:jc w:val="center"/>
        </w:trPr>
        <w:tc>
          <w:tcPr>
            <w:tcW w:w="15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91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7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2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6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62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8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007" w:hRule="auto"/>
          <w:jc w:val="center"/>
        </w:trPr>
        <w:tc>
          <w:tcPr>
            <w:tcW w:w="15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91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27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12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6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62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88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Батак</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Батак е 18. По услуги: </w:t>
      </w:r>
    </w:p>
    <w:tbl>
      <w:tblPr/>
      <w:tblGrid>
        <w:gridCol w:w="4037"/>
        <w:gridCol w:w="5023"/>
      </w:tblGrid>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Батак,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от други общини, които ползват социални услуги на територията на община Батак е 53. </w:t>
      </w:r>
    </w:p>
    <w:tbl>
      <w:tblPr/>
      <w:tblGrid>
        <w:gridCol w:w="4541"/>
        <w:gridCol w:w="4509"/>
      </w:tblGrid>
      <w:tr>
        <w:trPr>
          <w:trHeight w:val="1" w:hRule="atLeast"/>
          <w:jc w:val="left"/>
        </w:trPr>
        <w:tc>
          <w:tcPr>
            <w:tcW w:w="4541"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09" w:type="dxa"/>
            <w:tcBorders>
              <w:top w:val="single" w:color="000000" w:sz="8"/>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1"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4509"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r>
      <w:tr>
        <w:trPr>
          <w:trHeight w:val="1" w:hRule="atLeast"/>
          <w:jc w:val="left"/>
        </w:trPr>
        <w:tc>
          <w:tcPr>
            <w:tcW w:w="4541"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4509"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r>
        <w:trPr>
          <w:trHeight w:val="1" w:hRule="atLeast"/>
          <w:jc w:val="left"/>
        </w:trPr>
        <w:tc>
          <w:tcPr>
            <w:tcW w:w="4541"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4509"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Батак за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демографското развитие на община Батак за периода 2017г.-2021г. се наблюдава отрицателна тенденция за намаляване броя на населението. Отрицателният естествен прираст на населението дава неблагоприятен отпечатък върху демографската жизненост на общината и върху възрастовата му структура. Налице е (макар и не силно изразен) процес на застаряване на населението.</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 анализирания 5 годишен период намаляват контингентите от лица в предучилищна и в училищна възраст, което се отразява неблагоприятно за нормалното функциониране на детските градини и на основните училища в селата на общината.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Тенденцията на рязко разграничаване на показателите за раждаемост и смъртност води  до повишаване на отрицателния естествен прираст и  намаляване на населението в резултат на естествените демографски процеси.  </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Служителите, които осъществяват дейности по предоставяне на социалните услуги в община Батак са назначени на Трудови договори, съгласно утвърдените щатни  разписания за всяка услуга.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служителите се осигурява супервизия, професионално и кариерно развитие. За служителите, които за първи път осъществяват дейност по предоставяне на социални услуги задължително се определя наставник съгласно чл.120, ал.3 от ЗСУ, който да ги подпомага методически за срок от 6 месеца от датата на назначаването им.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Община Батак социални услуги се представят с подходящи условия, квалифициран и мотивиран персонал. Тези условия са налице благодарение на организираните вътрешни обучения и семинари, както и на сътрудничеството на Общината с НПО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Егида”, Медико педагогически център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Свети Франсиск”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Белгия и Пловдивски университет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Паисий Хилендарски”, които по проект организираха обучението на социалните работници в СУ.</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 оглед осъществяване на съответствие на съществуващите социални услуги с Наредбата за качеството на социалните услуги, и в частност осигуряване на необходимите служители съгласно Наредбата, ще се наложи увеличаване на броя на служителите, които към момента предоставят социални услуги.</w:t>
      </w:r>
    </w:p>
    <w:p>
      <w:pPr>
        <w:keepNext w:val="true"/>
        <w:tabs>
          <w:tab w:val="left" w:pos="862" w:leader="none"/>
        </w:tabs>
        <w:spacing w:before="240" w:after="6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БЕЛОВО</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Белово информацията за населението по настоящ адрес е получена от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Септември, филиал Белово;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Септември; Териториално статистическо бюро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Пазарджик; Отдел ГРАО към Община Белово.</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Белово към 31.12.2021 г. е 8288 жители, от тях 1085 деца до 18-годишна възраст. Общият брой на пълнолетните лица с трайни увреждания е 997, а на децата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21.</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Белово са разкрити 3 социални услуги, 2 от тях се предоставят в гр. Белово, а третата в с. Дъбравите. Общият капацитет на социалните услуги е за 65 потребители, в т.ч. 26 асистентска подкрепа.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584"/>
        <w:gridCol w:w="2530"/>
        <w:gridCol w:w="1727"/>
        <w:gridCol w:w="1219"/>
      </w:tblGrid>
      <w:tr>
        <w:trPr>
          <w:trHeight w:val="1" w:hRule="atLeast"/>
          <w:jc w:val="center"/>
        </w:trPr>
        <w:tc>
          <w:tcPr>
            <w:tcW w:w="35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z w:val="22"/>
                <w:shd w:fill="auto" w:val="clear"/>
              </w:rPr>
            </w:pPr>
          </w:p>
        </w:tc>
        <w:tc>
          <w:tcPr>
            <w:tcW w:w="25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ДЦДМУ</w:t>
            </w:r>
          </w:p>
        </w:tc>
        <w:tc>
          <w:tcPr>
            <w:tcW w:w="17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ЦНСТПЛД</w:t>
            </w:r>
          </w:p>
        </w:tc>
        <w:tc>
          <w:tcPr>
            <w:tcW w:w="121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center"/>
        </w:trPr>
        <w:tc>
          <w:tcPr>
            <w:tcW w:w="35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5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1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center"/>
        </w:trPr>
        <w:tc>
          <w:tcPr>
            <w:tcW w:w="35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5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c>
          <w:tcPr>
            <w:tcW w:w="17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121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26</w:t>
            </w:r>
          </w:p>
        </w:tc>
      </w:tr>
    </w:tbl>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Белово</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Белово е 12 лица. По услуги: </w:t>
      </w:r>
    </w:p>
    <w:tbl>
      <w:tblPr/>
      <w:tblGrid>
        <w:gridCol w:w="2553"/>
        <w:gridCol w:w="6507"/>
      </w:tblGrid>
      <w:tr>
        <w:trPr>
          <w:trHeight w:val="1" w:hRule="atLeast"/>
          <w:jc w:val="center"/>
        </w:trPr>
        <w:tc>
          <w:tcPr>
            <w:tcW w:w="255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650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center"/>
        </w:trPr>
        <w:tc>
          <w:tcPr>
            <w:tcW w:w="255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ЦНСТПЛД</w:t>
            </w:r>
          </w:p>
        </w:tc>
        <w:tc>
          <w:tcPr>
            <w:tcW w:w="650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center"/>
        </w:trPr>
        <w:tc>
          <w:tcPr>
            <w:tcW w:w="255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650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Белово,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Белово, от други общини е 22. </w:t>
      </w:r>
    </w:p>
    <w:tbl>
      <w:tblPr/>
      <w:tblGrid>
        <w:gridCol w:w="4541"/>
        <w:gridCol w:w="4509"/>
      </w:tblGrid>
      <w:tr>
        <w:trPr>
          <w:trHeight w:val="1" w:hRule="atLeast"/>
          <w:jc w:val="left"/>
        </w:trPr>
        <w:tc>
          <w:tcPr>
            <w:tcW w:w="4541"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09" w:type="dxa"/>
            <w:tcBorders>
              <w:top w:val="single" w:color="000000" w:sz="8"/>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1"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4509"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r>
      <w:tr>
        <w:trPr>
          <w:trHeight w:val="1" w:hRule="atLeast"/>
          <w:jc w:val="left"/>
        </w:trPr>
        <w:tc>
          <w:tcPr>
            <w:tcW w:w="4541"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ЦНСТПЛД</w:t>
            </w:r>
          </w:p>
        </w:tc>
        <w:tc>
          <w:tcPr>
            <w:tcW w:w="4509"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bl>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Белово за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Населението на община Белово е 3 % от населението на Област Пазарджик (към 31.12.2021 г. по данни на НСИ). По демографски потенциал общината се нарежда на 119-то място сред общините в България и на осмо място сред общините в област Пазарджик.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Гъстотата на населението в общината е ниска, като в общинския център гр. Белово е съсредоточено 45% от населението на общината. Останалите седем населени места спадат към категорията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малки села“ с население от 250 до 1000 жители.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Естественият прираст на населението на общината за периода 2017-2021г. е отрицателен, като от минус 10,7</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за 2017 г. достига до минус 19</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за 2021 г. Община Белово е в значително влошени стойности на този показател в сравнение с област Пазарджик, ЮЦР и страната, където за разглеждания период естествения прираст е около минус 6</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Механичното движение на населението на община Белово показва, че броят на заселените лица е по-малък от този на изселените за всяка година от периода 2017-2021, което формира и отрицателния механичен прираст през тези години. През 2019 г. броят на заселените лица е най-голям.</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социалните услуги, делегирани от държавата дейности, които функционират на територията на община Белово, няма незаети длъжности по щатно разписание.</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 привеждане на услугите в община Белово в съответствие с Наредбата за качеството на социалните услуги се предвижда увеличаване на щатния брой на служителите. В социалната услуга ЦНСТПЛД има нужда от назначаване на допълнителен персонал за длъжността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Медицинска сестра”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щатна бройка 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Рехабилитатор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щатна бройка, в социалната услуга ДЦДМУ има нужда от назначаване на допълнителен персонал за длъжността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шофьор”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щатна бройка на 4 ч. 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Логопед“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щатна бройка.</w:t>
      </w:r>
    </w:p>
    <w:p>
      <w:pPr>
        <w:keepNext w:val="true"/>
        <w:tabs>
          <w:tab w:val="left" w:pos="862" w:leader="none"/>
        </w:tabs>
        <w:spacing w:before="240" w:after="6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БРАЦИГОВО</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Брацигово информацията за населението по настоящ адрес е получена от</w:t>
        <w:tab/>
        <w:t xml:space="preserve">Национален статистически институт, Дирекция социално подпомагане гр. Пещера, Дирекция “ Бюро по труда “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Пещера и Общинска администрация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Брацигово.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Брацигово към 31.12.2021 г. е 8188 жители, от тях 1428 деца до 18-годишна възраст. Общият брой на лицата с трайни увреждания е 814, от тях деца 107.</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Брацигово са разкрити 9 социални услуги, като всички се предоставят в гр. Брацигово. Общият капацитет на услугите е 133 потребители, в т.ч. 27 за асистентска подкрепа</w:t>
      </w:r>
    </w:p>
    <w:tbl>
      <w:tblPr/>
      <w:tblGrid>
        <w:gridCol w:w="3723"/>
        <w:gridCol w:w="1335"/>
        <w:gridCol w:w="1334"/>
        <w:gridCol w:w="1334"/>
        <w:gridCol w:w="1334"/>
      </w:tblGrid>
      <w:tr>
        <w:trPr>
          <w:trHeight w:val="1" w:hRule="atLeast"/>
          <w:jc w:val="left"/>
        </w:trPr>
        <w:tc>
          <w:tcPr>
            <w:tcW w:w="37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z w:val="22"/>
                <w:shd w:fill="auto" w:val="clear"/>
              </w:rPr>
            </w:pPr>
          </w:p>
        </w:tc>
        <w:tc>
          <w:tcPr>
            <w:tcW w:w="13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ДЦДМУ</w:t>
            </w:r>
          </w:p>
        </w:tc>
        <w:tc>
          <w:tcPr>
            <w:tcW w:w="13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13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ЦРДУ</w:t>
            </w:r>
          </w:p>
        </w:tc>
        <w:tc>
          <w:tcPr>
            <w:tcW w:w="13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ДЦПЛУ</w:t>
            </w:r>
          </w:p>
        </w:tc>
      </w:tr>
      <w:tr>
        <w:trPr>
          <w:trHeight w:val="1" w:hRule="atLeast"/>
          <w:jc w:val="left"/>
        </w:trPr>
        <w:tc>
          <w:tcPr>
            <w:tcW w:w="37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3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3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3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3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7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3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13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3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13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701"/>
        <w:gridCol w:w="1423"/>
        <w:gridCol w:w="1312"/>
        <w:gridCol w:w="1312"/>
        <w:gridCol w:w="1312"/>
      </w:tblGrid>
      <w:tr>
        <w:trPr>
          <w:trHeight w:val="1" w:hRule="atLeast"/>
          <w:jc w:val="left"/>
        </w:trPr>
        <w:tc>
          <w:tcPr>
            <w:tcW w:w="370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z w:val="22"/>
                <w:shd w:fill="auto" w:val="clear"/>
              </w:rPr>
            </w:pPr>
          </w:p>
        </w:tc>
        <w:tc>
          <w:tcPr>
            <w:tcW w:w="14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ЦНСТДБУ</w:t>
            </w:r>
          </w:p>
        </w:tc>
        <w:tc>
          <w:tcPr>
            <w:tcW w:w="13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ПЖД</w:t>
            </w:r>
          </w:p>
        </w:tc>
        <w:tc>
          <w:tcPr>
            <w:tcW w:w="13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НЖ</w:t>
            </w:r>
          </w:p>
        </w:tc>
        <w:tc>
          <w:tcPr>
            <w:tcW w:w="13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left"/>
        </w:trPr>
        <w:tc>
          <w:tcPr>
            <w:tcW w:w="370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4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3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3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3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70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4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c>
          <w:tcPr>
            <w:tcW w:w="13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13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13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27</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w:t>
        <w:tab/>
        <w:t xml:space="preserve">- социални услуги на територията на община Брацигово</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общината има 1 желаещо лице да ползва социална услуга. По услуги: </w:t>
      </w:r>
    </w:p>
    <w:tbl>
      <w:tblPr/>
      <w:tblGrid>
        <w:gridCol w:w="3160"/>
        <w:gridCol w:w="5900"/>
      </w:tblGrid>
      <w:tr>
        <w:trPr>
          <w:trHeight w:val="1" w:hRule="atLeast"/>
          <w:jc w:val="center"/>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center"/>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bl>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Брацигово,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от други общини, които ползват социални услуги на територията на община Брацигово е 39. </w:t>
      </w:r>
    </w:p>
    <w:tbl>
      <w:tblPr/>
      <w:tblGrid>
        <w:gridCol w:w="4541"/>
        <w:gridCol w:w="4509"/>
      </w:tblGrid>
      <w:tr>
        <w:trPr>
          <w:trHeight w:val="1" w:hRule="atLeast"/>
          <w:jc w:val="left"/>
        </w:trPr>
        <w:tc>
          <w:tcPr>
            <w:tcW w:w="4541"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09" w:type="dxa"/>
            <w:tcBorders>
              <w:top w:val="single" w:color="000000" w:sz="8"/>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1"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4509"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r>
      <w:tr>
        <w:trPr>
          <w:trHeight w:val="1" w:hRule="atLeast"/>
          <w:jc w:val="left"/>
        </w:trPr>
        <w:tc>
          <w:tcPr>
            <w:tcW w:w="4541"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НЖ</w:t>
            </w:r>
          </w:p>
        </w:tc>
        <w:tc>
          <w:tcPr>
            <w:tcW w:w="4509"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4541"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ПЖД</w:t>
            </w:r>
          </w:p>
        </w:tc>
        <w:tc>
          <w:tcPr>
            <w:tcW w:w="4509"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4541"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4509"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Брацигово за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Тенденциите, като намаляваща раждаемост и застаряване на населението, се наблюдават и в останалите общини на област Пазарджик и ЮЦР и са симптоматични за страната като цяло, но в община Брацигово през последните години са силно изразени. В допълнение продължават да се наблюдават и задълбочават негативни тенденции, като по-високи нива на смъртност и интензивна външна миграция. Комбинацията от тези негативни процеси дава основание да се говори за демографска криза и изправя сериозни предизвикателства пред бъдещото функциониране на системите на социално осигуряване и подпомагане, здравеопазване, образование и публични финанси в общината.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социалните услуги, делегирани от държавата дейности, които функционират на територията на община Брацигово, няма незаети длъжности по щатно разписание.</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 привеждане на услугите в общината в съответствие с Наредбата за качеството на социалните услуги се предвижда увеличаване на щатния брой на служителите.</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 осигуряване на професионално и кариерно развитие на служителите със специалистите, работещи в социалните услуги в община Брацигово са проведени супервизии, като същите са взели участие в обучения, както за целия екип, така и за всеки отделен специалист с практическа насоченост.</w:t>
      </w:r>
    </w:p>
    <w:p>
      <w:pPr>
        <w:keepNext w:val="true"/>
        <w:tabs>
          <w:tab w:val="left" w:pos="862" w:leader="none"/>
        </w:tabs>
        <w:spacing w:before="240" w:after="6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ВЕЛИНГРАД</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за общината</w:t>
      </w:r>
    </w:p>
    <w:p>
      <w:pPr>
        <w:spacing w:before="0" w:after="12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Велинград информацията за населението по настоящ адрес е получена от общинска администрация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Велинград, НСИ, РЗИ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Пазарджик, ДБТ - Велинград, ДСП - Велинград, както и доставчиците на 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Велинград, към 31.12.2021 г. е 36 875 жители, от тях 6 923 деца до 18-годишна възраст. Общия брой на лицата с трайни увреждания е 4 447, от тях деца 143.</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Велинград са разкрити 10 социални услуги, като всички се предоставят в гр. Велинград. Общият капацитет на услугите е 300 потребители, в т.ч. 87 за асистентска подкрепа</w:t>
      </w:r>
    </w:p>
    <w:tbl>
      <w:tblPr/>
      <w:tblGrid>
        <w:gridCol w:w="3098"/>
        <w:gridCol w:w="1136"/>
        <w:gridCol w:w="1110"/>
        <w:gridCol w:w="802"/>
        <w:gridCol w:w="1423"/>
        <w:gridCol w:w="1491"/>
      </w:tblGrid>
      <w:tr>
        <w:trPr>
          <w:trHeight w:val="1" w:hRule="atLeast"/>
          <w:jc w:val="left"/>
        </w:trPr>
        <w:tc>
          <w:tcPr>
            <w:tcW w:w="309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z w:val="22"/>
                <w:shd w:fill="auto" w:val="clear"/>
              </w:rPr>
            </w:pPr>
          </w:p>
        </w:tc>
        <w:tc>
          <w:tcPr>
            <w:tcW w:w="11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ДЦДМУ</w:t>
            </w:r>
          </w:p>
        </w:tc>
        <w:tc>
          <w:tcPr>
            <w:tcW w:w="11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ДЦПЛУ</w:t>
            </w:r>
          </w:p>
        </w:tc>
        <w:tc>
          <w:tcPr>
            <w:tcW w:w="8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14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ЦНСТДБУ</w:t>
            </w:r>
          </w:p>
        </w:tc>
        <w:tc>
          <w:tcPr>
            <w:tcW w:w="14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ЦНСТДМУ</w:t>
            </w:r>
          </w:p>
        </w:tc>
      </w:tr>
      <w:tr>
        <w:trPr>
          <w:trHeight w:val="1" w:hRule="atLeast"/>
          <w:jc w:val="left"/>
        </w:trPr>
        <w:tc>
          <w:tcPr>
            <w:tcW w:w="309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1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4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309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1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36</w:t>
            </w:r>
          </w:p>
        </w:tc>
        <w:tc>
          <w:tcPr>
            <w:tcW w:w="11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35</w:t>
            </w:r>
          </w:p>
        </w:tc>
        <w:tc>
          <w:tcPr>
            <w:tcW w:w="8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c>
          <w:tcPr>
            <w:tcW w:w="14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4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366"/>
        <w:gridCol w:w="1566"/>
        <w:gridCol w:w="1564"/>
        <w:gridCol w:w="1564"/>
      </w:tblGrid>
      <w:tr>
        <w:trPr>
          <w:trHeight w:val="1" w:hRule="atLeast"/>
          <w:jc w:val="left"/>
        </w:trPr>
        <w:tc>
          <w:tcPr>
            <w:tcW w:w="436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z w:val="22"/>
                <w:shd w:fill="auto" w:val="clear"/>
              </w:rPr>
            </w:pPr>
          </w:p>
        </w:tc>
        <w:tc>
          <w:tcPr>
            <w:tcW w:w="15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15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ЗЖЛФУ</w:t>
            </w:r>
          </w:p>
        </w:tc>
        <w:tc>
          <w:tcPr>
            <w:tcW w:w="15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left"/>
        </w:trPr>
        <w:tc>
          <w:tcPr>
            <w:tcW w:w="436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5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36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5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c>
          <w:tcPr>
            <w:tcW w:w="15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5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87</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Велинград</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31.12.2022 г. в община Велинград 1 лице желае да ползва социални услуги, финансирани от държавния бюджет.</w:t>
      </w:r>
    </w:p>
    <w:tbl>
      <w:tblPr/>
      <w:tblGrid>
        <w:gridCol w:w="3160"/>
        <w:gridCol w:w="5900"/>
      </w:tblGrid>
      <w:tr>
        <w:trPr>
          <w:trHeight w:val="1" w:hRule="atLeast"/>
          <w:jc w:val="center"/>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center"/>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Велинград,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от други общини, които ползват социални услуги на територията на община Велинград е 38. </w:t>
      </w:r>
    </w:p>
    <w:tbl>
      <w:tblPr/>
      <w:tblGrid>
        <w:gridCol w:w="4541"/>
        <w:gridCol w:w="4509"/>
      </w:tblGrid>
      <w:tr>
        <w:trPr>
          <w:trHeight w:val="1" w:hRule="atLeast"/>
          <w:jc w:val="left"/>
        </w:trPr>
        <w:tc>
          <w:tcPr>
            <w:tcW w:w="4541"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09" w:type="dxa"/>
            <w:tcBorders>
              <w:top w:val="single" w:color="000000" w:sz="8"/>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1"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4509"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541"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ЗЖЛФУ</w:t>
            </w:r>
          </w:p>
        </w:tc>
        <w:tc>
          <w:tcPr>
            <w:tcW w:w="4509"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4541" w:type="dxa"/>
            <w:tcBorders>
              <w:top w:val="single" w:color="000000" w:sz="0"/>
              <w:left w:val="single" w:color="000000" w:sz="8"/>
              <w:bottom w:val="single" w:color="000000" w:sz="4"/>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4509" w:type="dxa"/>
            <w:tcBorders>
              <w:top w:val="single" w:color="000000" w:sz="0"/>
              <w:left w:val="single" w:color="000000" w:sz="0"/>
              <w:bottom w:val="single" w:color="000000" w:sz="4"/>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r>
        <w:trPr>
          <w:trHeight w:val="1" w:hRule="atLeast"/>
          <w:jc w:val="left"/>
        </w:trPr>
        <w:tc>
          <w:tcPr>
            <w:tcW w:w="45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4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r>
      <w:tr>
        <w:trPr>
          <w:trHeight w:val="1" w:hRule="atLeast"/>
          <w:jc w:val="left"/>
        </w:trPr>
        <w:tc>
          <w:tcPr>
            <w:tcW w:w="45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4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r>
    </w:tbl>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Велинград за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община Велинград до пандемията от КОВИД-19 се наблюдава относително постоянство в данните за раждаемост и смъртност, по време на пандемията се наблюдава скок в смъртните случаи и спад на раждаемостта.</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община Велинград до пандемията от КОВИД-19 се наблюдава относително постоянство в данните за раждаемост и смъртност, по време на пандемията се наблюдава скок в смъртните случаи и спад на раждаемостта.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Намалението на броя на населението в община Велинград се дължи не само на отрицателния естествен прираст , а на отрицателните стойности на механичния прираст. За анализирания период е видно, че броят на заселените лица е значително по-малък от този на изселените, единствено за 2021 г. отрицателния механичен  прираст е намалял. </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услугите на територията на община Велинград почти няма незаети длъжности, с изключение на 1 щатна бройка за длъжността медицинска сестра, 1 щатна бройка за длъжността детегледач и 2,5 щатни бройки за длъжността касиер домакин.</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 привеждане на услугите в общината в съответствие с Наредбата за качеството на социалните услуги се предвижда увеличаване на щатния брой на служителите.</w:t>
      </w:r>
    </w:p>
    <w:p>
      <w:pPr>
        <w:keepNext w:val="true"/>
        <w:tabs>
          <w:tab w:val="left" w:pos="862" w:leader="none"/>
        </w:tabs>
        <w:spacing w:before="240" w:after="6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ЛЕСИЧОВО</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Лесичово информацията за населението по настоящ адрес е получена от НСИ, РЗИ, ДСП и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Пазарджик, Местна комисия за борба с противообществените прояви на малолетни и непълнолетни.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Лесичово към 31.12.2021 г. е 5497 жители, от тях 911 деца до 18-годишна възраст. Общият брой на лицата с трайни увреждания е 530, от тях деца 20.</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Лесичово са разкрити 6 социални услуги, които се предоставят на територията на с. Лесичово. Общият им капацитет е 82 потребители, в т.ч. 17 за асистентска подкрепа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420"/>
        <w:gridCol w:w="1774"/>
        <w:gridCol w:w="1622"/>
        <w:gridCol w:w="1122"/>
        <w:gridCol w:w="1122"/>
      </w:tblGrid>
      <w:tr>
        <w:trPr>
          <w:trHeight w:val="1" w:hRule="atLeast"/>
          <w:jc w:val="center"/>
        </w:trPr>
        <w:tc>
          <w:tcPr>
            <w:tcW w:w="34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z w:val="22"/>
                <w:shd w:fill="auto" w:val="clear"/>
              </w:rPr>
            </w:pPr>
          </w:p>
        </w:tc>
        <w:tc>
          <w:tcPr>
            <w:tcW w:w="17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ЦНСТДБУ</w:t>
            </w:r>
          </w:p>
        </w:tc>
        <w:tc>
          <w:tcPr>
            <w:tcW w:w="16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ЦСРИДМ</w:t>
            </w:r>
          </w:p>
        </w:tc>
        <w:tc>
          <w:tcPr>
            <w:tcW w:w="11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11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center"/>
        </w:trPr>
        <w:tc>
          <w:tcPr>
            <w:tcW w:w="34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7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16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center"/>
        </w:trPr>
        <w:tc>
          <w:tcPr>
            <w:tcW w:w="34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7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35</w:t>
            </w:r>
          </w:p>
        </w:tc>
        <w:tc>
          <w:tcPr>
            <w:tcW w:w="16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11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11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Лесичово</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31.12.2022 г. на територията на Община Лесичово няма чакащи лица, включени в регистъра на чакащите, желаещи да ползват социални услуги.</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Лесичово,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от други общини, които ползват социални услуги на територията на община Лесичово е 16. </w:t>
      </w:r>
    </w:p>
    <w:tbl>
      <w:tblPr/>
      <w:tblGrid>
        <w:gridCol w:w="4541"/>
        <w:gridCol w:w="4509"/>
      </w:tblGrid>
      <w:tr>
        <w:trPr>
          <w:trHeight w:val="1" w:hRule="atLeast"/>
          <w:jc w:val="left"/>
        </w:trPr>
        <w:tc>
          <w:tcPr>
            <w:tcW w:w="4541"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09" w:type="dxa"/>
            <w:tcBorders>
              <w:top w:val="single" w:color="000000" w:sz="8"/>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1"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w:t>
            </w:r>
          </w:p>
        </w:tc>
        <w:tc>
          <w:tcPr>
            <w:tcW w:w="4509"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541"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4509"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bl>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Лесичово за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Прираста в община Лесичово за периода е отрицателен, като раждаемостта варира между 42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62 </w:t>
      </w:r>
      <w:r>
        <w:rPr>
          <w:rFonts w:ascii="Times New Roman" w:hAnsi="Times New Roman" w:cs="Times New Roman" w:eastAsia="Times New Roman"/>
          <w:color w:val="auto"/>
          <w:spacing w:val="0"/>
          <w:position w:val="0"/>
          <w:sz w:val="24"/>
          <w:shd w:fill="auto" w:val="clear"/>
        </w:rPr>
        <w:t xml:space="preserve">деца на година, а смъртността 100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130 </w:t>
      </w:r>
      <w:r>
        <w:rPr>
          <w:rFonts w:ascii="Times New Roman" w:hAnsi="Times New Roman" w:cs="Times New Roman" w:eastAsia="Times New Roman"/>
          <w:color w:val="auto"/>
          <w:spacing w:val="0"/>
          <w:position w:val="0"/>
          <w:sz w:val="24"/>
          <w:shd w:fill="auto" w:val="clear"/>
        </w:rPr>
        <w:t xml:space="preserve">лица годишно. Отрицателния прираст на населението дава неблагоприятен отпечатък върху демографската жизненост на общината и върху възрастовата структура. На лице е процес на застаряващо население. Раждаемостта се наблюдава в населени места с по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висок % ромско население. Като причина за намаляващото население също така е миграцията на част от населението. </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момента на изготвяне на Анализа от община Лесичово в социалните услуги няма незаети длъжности.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Съпоставяйки данните за брой на назначени служители и брой незаети длъжности към момента на извършването на анализа по утвърдените щатни разписания в услугите на територията на Община Лесичово, както и въз основа на определените минимални изисквания в стандартите за качество на социалните услуги, касаещи броя и квалификацията на необходимите служители, се очертава необходимост от увеличаване броя на служителите с оглед оптимално функциониране на социалните и интегрираните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Основно регистрирани безработни в община Лесичово са лица без образование и/или основно такова. От тях няма лица с медицинско образование и/или опит в сферата на социалните услуги. </w:t>
      </w:r>
    </w:p>
    <w:p>
      <w:pPr>
        <w:keepNext w:val="true"/>
        <w:tabs>
          <w:tab w:val="left" w:pos="862" w:leader="none"/>
        </w:tabs>
        <w:spacing w:before="240" w:after="6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ПАЗАРДЖИК</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Пазарджик информацията за населението по настоящ адрес е получена от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Социални дейности“ към Община Пазарджик  със съдействието на Съвета по въпросите на социалните услуги, Отдел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Статистически изследвания“, ГРН, РЗИ, ТЕЛК, РУО.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Пазарджик, към 31.12.2021 г. е 103 681 жители, от тях 15 816 деца до 18-годишна възраст. Общият брой на лицата с трайни увреждания е 10 685, от тях деца 281.</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Пазарджик са разкрити 29 социални услуги, които се предоставят на територията на гр. Пазарджик, с изключение на два броя услуги в с. Звъничево и четири, които функционират съответно в с. Алеко Константиново, с. Хаджиево, с. Величково и с. Главиница. Общият капацитет на социалните услуги е за 1057 потребители, в т.ч. 251 асистентска подкрепа.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877"/>
        <w:gridCol w:w="1136"/>
        <w:gridCol w:w="1301"/>
        <w:gridCol w:w="915"/>
        <w:gridCol w:w="917"/>
        <w:gridCol w:w="1423"/>
        <w:gridCol w:w="1491"/>
      </w:tblGrid>
      <w:tr>
        <w:trPr>
          <w:trHeight w:val="1" w:hRule="atLeast"/>
          <w:jc w:val="center"/>
        </w:trPr>
        <w:tc>
          <w:tcPr>
            <w:tcW w:w="187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z w:val="22"/>
                <w:shd w:fill="auto" w:val="clear"/>
              </w:rPr>
            </w:pPr>
          </w:p>
        </w:tc>
        <w:tc>
          <w:tcPr>
            <w:tcW w:w="11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ДЦДМУ - СГ</w:t>
            </w:r>
          </w:p>
        </w:tc>
        <w:tc>
          <w:tcPr>
            <w:tcW w:w="13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ЦСРИДМ</w:t>
            </w:r>
          </w:p>
        </w:tc>
        <w:tc>
          <w:tcPr>
            <w:tcW w:w="9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 - СП</w:t>
            </w:r>
          </w:p>
        </w:tc>
        <w:tc>
          <w:tcPr>
            <w:tcW w:w="9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ЦРДУ</w:t>
            </w:r>
          </w:p>
        </w:tc>
        <w:tc>
          <w:tcPr>
            <w:tcW w:w="14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ЦНСТДБУ</w:t>
            </w:r>
          </w:p>
        </w:tc>
        <w:tc>
          <w:tcPr>
            <w:tcW w:w="14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ЦНСТДМУ</w:t>
            </w:r>
          </w:p>
        </w:tc>
      </w:tr>
      <w:tr>
        <w:trPr>
          <w:trHeight w:val="1" w:hRule="atLeast"/>
          <w:jc w:val="center"/>
        </w:trPr>
        <w:tc>
          <w:tcPr>
            <w:tcW w:w="187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1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3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14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center"/>
        </w:trPr>
        <w:tc>
          <w:tcPr>
            <w:tcW w:w="187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1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50</w:t>
            </w:r>
          </w:p>
        </w:tc>
        <w:tc>
          <w:tcPr>
            <w:tcW w:w="13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c>
          <w:tcPr>
            <w:tcW w:w="9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84</w:t>
            </w:r>
          </w:p>
        </w:tc>
        <w:tc>
          <w:tcPr>
            <w:tcW w:w="9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4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39</w:t>
            </w:r>
          </w:p>
        </w:tc>
        <w:tc>
          <w:tcPr>
            <w:tcW w:w="14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28</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072"/>
        <w:gridCol w:w="1109"/>
        <w:gridCol w:w="1114"/>
        <w:gridCol w:w="1110"/>
        <w:gridCol w:w="1275"/>
        <w:gridCol w:w="1122"/>
        <w:gridCol w:w="1258"/>
      </w:tblGrid>
      <w:tr>
        <w:trPr>
          <w:trHeight w:val="1" w:hRule="atLeast"/>
          <w:jc w:val="center"/>
        </w:trPr>
        <w:tc>
          <w:tcPr>
            <w:tcW w:w="207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z w:val="22"/>
                <w:shd w:fill="auto" w:val="clear"/>
              </w:rPr>
            </w:pPr>
          </w:p>
        </w:tc>
        <w:tc>
          <w:tcPr>
            <w:tcW w:w="11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ЗМБ</w:t>
            </w:r>
          </w:p>
        </w:tc>
        <w:tc>
          <w:tcPr>
            <w:tcW w:w="11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ДЦПЛУ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СГ</w:t>
            </w:r>
          </w:p>
        </w:tc>
        <w:tc>
          <w:tcPr>
            <w:tcW w:w="11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ДЦПЛУ</w:t>
            </w:r>
          </w:p>
        </w:tc>
        <w:tc>
          <w:tcPr>
            <w:tcW w:w="12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ЦСРИПЛ</w:t>
            </w:r>
          </w:p>
        </w:tc>
        <w:tc>
          <w:tcPr>
            <w:tcW w:w="11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ЗЖЛУИ</w:t>
            </w:r>
          </w:p>
        </w:tc>
        <w:tc>
          <w:tcPr>
            <w:tcW w:w="12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ЗЖЛФУ</w:t>
            </w:r>
          </w:p>
        </w:tc>
      </w:tr>
      <w:tr>
        <w:trPr>
          <w:trHeight w:val="1" w:hRule="atLeast"/>
          <w:jc w:val="center"/>
        </w:trPr>
        <w:tc>
          <w:tcPr>
            <w:tcW w:w="207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1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2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c>
          <w:tcPr>
            <w:tcW w:w="11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2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center"/>
        </w:trPr>
        <w:tc>
          <w:tcPr>
            <w:tcW w:w="207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1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11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c>
          <w:tcPr>
            <w:tcW w:w="11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50</w:t>
            </w:r>
          </w:p>
        </w:tc>
        <w:tc>
          <w:tcPr>
            <w:tcW w:w="12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142</w:t>
            </w:r>
          </w:p>
        </w:tc>
        <w:tc>
          <w:tcPr>
            <w:tcW w:w="11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c>
          <w:tcPr>
            <w:tcW w:w="12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765"/>
        <w:gridCol w:w="802"/>
        <w:gridCol w:w="1622"/>
        <w:gridCol w:w="1652"/>
        <w:gridCol w:w="1454"/>
        <w:gridCol w:w="802"/>
        <w:gridCol w:w="963"/>
      </w:tblGrid>
      <w:tr>
        <w:trPr>
          <w:trHeight w:val="1" w:hRule="atLeast"/>
          <w:jc w:val="center"/>
        </w:trPr>
        <w:tc>
          <w:tcPr>
            <w:tcW w:w="176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z w:val="22"/>
                <w:shd w:fill="auto" w:val="clear"/>
              </w:rPr>
            </w:pPr>
          </w:p>
        </w:tc>
        <w:tc>
          <w:tcPr>
            <w:tcW w:w="8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НЖ</w:t>
            </w:r>
          </w:p>
        </w:tc>
        <w:tc>
          <w:tcPr>
            <w:tcW w:w="16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ЦНСТПЛПР</w:t>
            </w:r>
          </w:p>
        </w:tc>
        <w:tc>
          <w:tcPr>
            <w:tcW w:w="16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ЦНСТПЛУИ</w:t>
            </w:r>
          </w:p>
        </w:tc>
        <w:tc>
          <w:tcPr>
            <w:tcW w:w="14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ЦНСТПЛД</w:t>
            </w:r>
          </w:p>
        </w:tc>
        <w:tc>
          <w:tcPr>
            <w:tcW w:w="8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9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center"/>
        </w:trPr>
        <w:tc>
          <w:tcPr>
            <w:tcW w:w="176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8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6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6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9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center"/>
        </w:trPr>
        <w:tc>
          <w:tcPr>
            <w:tcW w:w="176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8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16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16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14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8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218</w:t>
            </w:r>
          </w:p>
        </w:tc>
        <w:tc>
          <w:tcPr>
            <w:tcW w:w="9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251</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Пазарджик</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Пазарджик е 35 лица. По услуги:</w:t>
      </w:r>
    </w:p>
    <w:tbl>
      <w:tblPr/>
      <w:tblGrid>
        <w:gridCol w:w="3160"/>
        <w:gridCol w:w="5900"/>
      </w:tblGrid>
      <w:tr>
        <w:trPr>
          <w:trHeight w:val="1" w:hRule="atLeast"/>
          <w:jc w:val="center"/>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center"/>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center"/>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ЦНСТПЛПР</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r>
      <w:tr>
        <w:trPr>
          <w:trHeight w:val="1" w:hRule="atLeast"/>
          <w:jc w:val="center"/>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ЦНСТПЛД</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center"/>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ЦНСТПЛУИ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r>
        <w:trPr>
          <w:trHeight w:val="1" w:hRule="atLeast"/>
          <w:jc w:val="center"/>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ЗЖЛУИ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Пазарджик,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от други общини, които ползват социални услуги на територията на община Пазарджик е 105. </w:t>
      </w:r>
    </w:p>
    <w:tbl>
      <w:tblPr/>
      <w:tblGrid>
        <w:gridCol w:w="4541"/>
        <w:gridCol w:w="4509"/>
      </w:tblGrid>
      <w:tr>
        <w:trPr>
          <w:trHeight w:val="1" w:hRule="atLeast"/>
          <w:jc w:val="left"/>
        </w:trPr>
        <w:tc>
          <w:tcPr>
            <w:tcW w:w="4541" w:type="dxa"/>
            <w:tcBorders>
              <w:top w:val="single" w:color="000000" w:sz="8"/>
              <w:left w:val="single" w:color="000000" w:sz="8"/>
              <w:bottom w:val="single" w:color="000000" w:sz="4"/>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09" w:type="dxa"/>
            <w:tcBorders>
              <w:top w:val="single" w:color="000000" w:sz="8"/>
              <w:left w:val="single" w:color="000000" w:sz="0"/>
              <w:bottom w:val="single" w:color="000000" w:sz="4"/>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4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47</w:t>
            </w:r>
          </w:p>
        </w:tc>
      </w:tr>
      <w:tr>
        <w:trPr>
          <w:trHeight w:val="1" w:hRule="atLeast"/>
          <w:jc w:val="left"/>
        </w:trPr>
        <w:tc>
          <w:tcPr>
            <w:tcW w:w="45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4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r>
        <w:trPr>
          <w:trHeight w:val="1" w:hRule="atLeast"/>
          <w:jc w:val="left"/>
        </w:trPr>
        <w:tc>
          <w:tcPr>
            <w:tcW w:w="45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4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45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4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45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4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5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ЗЖЛФУ</w:t>
            </w:r>
          </w:p>
        </w:tc>
        <w:tc>
          <w:tcPr>
            <w:tcW w:w="4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45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w:t>
            </w:r>
          </w:p>
        </w:tc>
        <w:tc>
          <w:tcPr>
            <w:tcW w:w="4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r>
        <w:trPr>
          <w:trHeight w:val="1" w:hRule="atLeast"/>
          <w:jc w:val="left"/>
        </w:trPr>
        <w:tc>
          <w:tcPr>
            <w:tcW w:w="45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4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r>
        <w:trPr>
          <w:trHeight w:val="1" w:hRule="atLeast"/>
          <w:jc w:val="left"/>
        </w:trPr>
        <w:tc>
          <w:tcPr>
            <w:tcW w:w="45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ЦНСТДМУ</w:t>
            </w:r>
          </w:p>
        </w:tc>
        <w:tc>
          <w:tcPr>
            <w:tcW w:w="4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45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4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45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НЖ</w:t>
            </w:r>
          </w:p>
        </w:tc>
        <w:tc>
          <w:tcPr>
            <w:tcW w:w="4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45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 - СП</w:t>
            </w:r>
          </w:p>
        </w:tc>
        <w:tc>
          <w:tcPr>
            <w:tcW w:w="4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r>
        <w:trPr>
          <w:trHeight w:val="1" w:hRule="atLeast"/>
          <w:jc w:val="left"/>
        </w:trPr>
        <w:tc>
          <w:tcPr>
            <w:tcW w:w="45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ЗМБ </w:t>
            </w:r>
          </w:p>
        </w:tc>
        <w:tc>
          <w:tcPr>
            <w:tcW w:w="4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bl>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Пазарджик за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Демографското развитие на община Пазарджик съответства на общонационалната тенденция за намаляване на населението.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Запазва се от години съществуващата трайна тенденция за намаляване на броя на населението в общината, което се дължи основно на отрицателен естествен прираст и засилени миграционни процеси.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31.12.2021 г. населението на Община Пазарджик е 103 681 души, като за последните пет години е намаляло с 4 695 души /брой на населението през 2017 г. - 108 376 души/.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Населението в общината бележи трайна тенденция към намаление. Характерна за община Пазарджик е и разликата в броя на мъжете и жените, която се запазва през последните години. </w:t>
      </w:r>
    </w:p>
    <w:p>
      <w:pPr>
        <w:spacing w:before="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Тенденцията е към увеличаване на процента на възрастното население за сметка на намаляване на процента на младото население и населението в трудоспособна възраст. Налице е процес на трайно застаряване на населението.</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социалните услуги в Община Пазарджик работят кадри, които са мотивирани за работа с деца и възрастни, готови да усъвършенстват професионалните си знания и умения, изразяват готовност да си сътрудничат с всички структури, работещи на територията на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община Пазарджик е налице съотношението между капацитет и щатни бройки на социалните услуги, изключения правят услугите за деца с увреждания, предвид спецификата и броя на децата и младежите с нарушена мобилност, където  възниква необходимост от кинезитерапевт/ерготерапевт, както и допълнителен помощен персонал.</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ЦНСТДМУ възниква необходимост от допълнителен персонал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социален работник и детегледачи. В ДСХ - Пазарджик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необходимо е да се заемат свободните длъжности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две медицински сестри и един организатор хранене.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Прогнозен брой служители  - при съпоставка на данните за брой на назначени служители и брой незаети длъжности във всяка услуга, прогнозния брой места надхвърля 300 бр. Възможни са изменения в длъжностните щатни разписания на Домовете за стари хора за постигане на съответствие с изискванията за брой, квалификация и състав на служителите.</w:t>
      </w:r>
    </w:p>
    <w:p>
      <w:pPr>
        <w:keepNext w:val="true"/>
        <w:tabs>
          <w:tab w:val="left" w:pos="862" w:leader="none"/>
        </w:tabs>
        <w:spacing w:before="240" w:after="6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ПАНАГЮРИЩЕ</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в община Панагюрище са използвани официални източници на информация -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Панагюрище,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Панагюрище, Регионална здравна инспекция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Пазарджик, Община Панагюрище - отдел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Административно-правно информационно обслужване“, отдел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Образование, култура, младежки дейности,  спорт и туризъм“ и отдел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Териториално и селищно устройство“, Статистически бази-данни от Национален статистически институт.</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Панагюрище към 31.12.2021 г. е 21 430 жители, от тях 2 915 деца до 18-годишна възраст. Общият брой на лицата с трайни увреждания е 1 986, от тях деца 62.</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Панагюрище са разкрити 4 социални услуги, като всички се предоставят в гр. Панагюрище. Общият капацитет на социалните услуги е за 154 потребители, в т.ч. 60 за асистентска подкрепа.</w:t>
      </w:r>
    </w:p>
    <w:tbl>
      <w:tblPr/>
      <w:tblGrid>
        <w:gridCol w:w="2875"/>
        <w:gridCol w:w="1726"/>
        <w:gridCol w:w="1685"/>
        <w:gridCol w:w="1538"/>
        <w:gridCol w:w="1236"/>
      </w:tblGrid>
      <w:tr>
        <w:trPr>
          <w:trHeight w:val="1" w:hRule="atLeast"/>
          <w:jc w:val="center"/>
        </w:trPr>
        <w:tc>
          <w:tcPr>
            <w:tcW w:w="287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z w:val="22"/>
                <w:shd w:fill="auto" w:val="clear"/>
              </w:rPr>
            </w:pPr>
          </w:p>
        </w:tc>
        <w:tc>
          <w:tcPr>
            <w:tcW w:w="17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ДЦДМУ</w:t>
            </w:r>
          </w:p>
        </w:tc>
        <w:tc>
          <w:tcPr>
            <w:tcW w:w="168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ДЦПЛУ</w:t>
            </w:r>
          </w:p>
        </w:tc>
        <w:tc>
          <w:tcPr>
            <w:tcW w:w="15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12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center"/>
        </w:trPr>
        <w:tc>
          <w:tcPr>
            <w:tcW w:w="287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7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68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center"/>
        </w:trPr>
        <w:tc>
          <w:tcPr>
            <w:tcW w:w="287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7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c>
          <w:tcPr>
            <w:tcW w:w="168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5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50</w:t>
            </w:r>
          </w:p>
        </w:tc>
        <w:tc>
          <w:tcPr>
            <w:tcW w:w="12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60</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Панагюрище</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Панагюрище е 1 лице. По услуги:</w:t>
      </w:r>
    </w:p>
    <w:tbl>
      <w:tblPr/>
      <w:tblGrid>
        <w:gridCol w:w="2963"/>
        <w:gridCol w:w="6097"/>
      </w:tblGrid>
      <w:tr>
        <w:trPr>
          <w:trHeight w:val="1" w:hRule="atLeast"/>
          <w:jc w:val="center"/>
        </w:trPr>
        <w:tc>
          <w:tcPr>
            <w:tcW w:w="296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609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center"/>
        </w:trPr>
        <w:tc>
          <w:tcPr>
            <w:tcW w:w="296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Асистентска подкрепа</w:t>
            </w:r>
          </w:p>
        </w:tc>
        <w:tc>
          <w:tcPr>
            <w:tcW w:w="609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Панагюрище,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от други общини, които ползват социални услуги на територията на община Панагюрище е 2. </w:t>
      </w:r>
    </w:p>
    <w:tbl>
      <w:tblPr/>
      <w:tblGrid>
        <w:gridCol w:w="4541"/>
        <w:gridCol w:w="4509"/>
      </w:tblGrid>
      <w:tr>
        <w:trPr>
          <w:trHeight w:val="1" w:hRule="atLeast"/>
          <w:jc w:val="left"/>
        </w:trPr>
        <w:tc>
          <w:tcPr>
            <w:tcW w:w="4541" w:type="dxa"/>
            <w:tcBorders>
              <w:top w:val="single" w:color="000000" w:sz="8"/>
              <w:left w:val="single" w:color="000000" w:sz="8"/>
              <w:bottom w:val="single" w:color="000000" w:sz="4"/>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09" w:type="dxa"/>
            <w:tcBorders>
              <w:top w:val="single" w:color="000000" w:sz="8"/>
              <w:left w:val="single" w:color="000000" w:sz="0"/>
              <w:bottom w:val="single" w:color="000000" w:sz="4"/>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c>
          <w:tcPr>
            <w:tcW w:w="4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bl>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Панагюрище за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Основните демографски процеси показват трайна негативна тенденция за община Панагюрище. Намаляване на населението на общината продължава и през периода 2017-2021 година, когато населението е намаляло със 6,06% или с 1 383 души. Намаляването на населението е резултат на отрицателния естествен прираст, характерен за всички райони и области на страната, дължащ се на увеличената смъртност, включително през последните две години в следствие на КОВИД</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19. </w:t>
      </w:r>
      <w:r>
        <w:rPr>
          <w:rFonts w:ascii="Times New Roman" w:hAnsi="Times New Roman" w:cs="Times New Roman" w:eastAsia="Times New Roman"/>
          <w:color w:val="auto"/>
          <w:spacing w:val="0"/>
          <w:position w:val="0"/>
          <w:sz w:val="24"/>
          <w:shd w:fill="auto" w:val="clear"/>
        </w:rPr>
        <w:t xml:space="preserve">Наблюдава се устойчивост на броя на родените деца за периода 2019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2021 </w:t>
      </w:r>
      <w:r>
        <w:rPr>
          <w:rFonts w:ascii="Times New Roman" w:hAnsi="Times New Roman" w:cs="Times New Roman" w:eastAsia="Times New Roman"/>
          <w:color w:val="auto"/>
          <w:spacing w:val="0"/>
          <w:position w:val="0"/>
          <w:sz w:val="24"/>
          <w:shd w:fill="auto" w:val="clear"/>
        </w:rPr>
        <w:t xml:space="preserve">година за община Панагюрище. Обезпокоителна е тенденцията на над два пъти по-високата смъртност, в сравнение с раждаемостта, което води и до достигане на най-ниския естествен прираст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411 </w:t>
      </w:r>
      <w:r>
        <w:rPr>
          <w:rFonts w:ascii="Times New Roman" w:hAnsi="Times New Roman" w:cs="Times New Roman" w:eastAsia="Times New Roman"/>
          <w:color w:val="auto"/>
          <w:spacing w:val="0"/>
          <w:position w:val="0"/>
          <w:sz w:val="24"/>
          <w:shd w:fill="auto" w:val="clear"/>
        </w:rPr>
        <w:t xml:space="preserve">за периода. Това дава основание да се твърди, че е налице трайно влошаване на показателите за възпроизводство на населението на общината. Основният демографски проблем е увеличаващите се нива на смъртност. Поради отрицателния естествен прираст, демографската характеристика на община Панагюрище е неблагоприятна.</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които функционират на територията на община Симеоновград към момента на извършване на анализа, разполагат с необходимия брой квалифициран персонал и няма незаети позиции.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Предвижда се изменение на длъжностното щатно разписание на персонала в социалните услуги за реализиране на съответствие с изискванията на Наредбата за качеството на социалните услуги за брой и състав на служителите.</w:t>
      </w:r>
    </w:p>
    <w:p>
      <w:pPr>
        <w:keepNext w:val="true"/>
        <w:tabs>
          <w:tab w:val="left" w:pos="862" w:leader="none"/>
        </w:tabs>
        <w:spacing w:before="240" w:after="6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ПЕЩЕРА</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от община Пещера са използвани официални източници на информация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Общинска администрация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Пещера; НСИ; Главна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ГРАО“,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Пещера;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Пещера.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Пещера към 31.12.2021 г,. е 21 829 жители, от тях 3 468 деца до 18-годишна възраст. Общият брой на лицата с трайни увреждания е 1 602, от тях деца 75.</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Пещера са разкрити 5 социални услуги, които се предоставят на територията на гр. Пещера. Общият капацитет на услугите е за 132 потребители, в т.ч. 42 за асистентска подкрепа.</w:t>
      </w:r>
    </w:p>
    <w:tbl>
      <w:tblPr/>
      <w:tblGrid>
        <w:gridCol w:w="2899"/>
        <w:gridCol w:w="1646"/>
        <w:gridCol w:w="1110"/>
        <w:gridCol w:w="992"/>
        <w:gridCol w:w="1423"/>
        <w:gridCol w:w="990"/>
      </w:tblGrid>
      <w:tr>
        <w:trPr>
          <w:trHeight w:val="1" w:hRule="atLeast"/>
          <w:jc w:val="center"/>
        </w:trPr>
        <w:tc>
          <w:tcPr>
            <w:tcW w:w="289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z w:val="22"/>
                <w:shd w:fill="auto" w:val="clear"/>
              </w:rPr>
            </w:pPr>
          </w:p>
        </w:tc>
        <w:tc>
          <w:tcPr>
            <w:tcW w:w="164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ДЦДМУ</w:t>
            </w:r>
          </w:p>
        </w:tc>
        <w:tc>
          <w:tcPr>
            <w:tcW w:w="11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ДЦПЛУ</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КЦД</w:t>
            </w:r>
          </w:p>
        </w:tc>
        <w:tc>
          <w:tcPr>
            <w:tcW w:w="14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ЦНСТДБУ</w:t>
            </w:r>
          </w:p>
        </w:tc>
        <w:tc>
          <w:tcPr>
            <w:tcW w:w="9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center"/>
        </w:trPr>
        <w:tc>
          <w:tcPr>
            <w:tcW w:w="289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64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center"/>
        </w:trPr>
        <w:tc>
          <w:tcPr>
            <w:tcW w:w="289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64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36</w:t>
            </w:r>
          </w:p>
        </w:tc>
        <w:tc>
          <w:tcPr>
            <w:tcW w:w="11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28</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c>
          <w:tcPr>
            <w:tcW w:w="14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9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42</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Пещера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Пещера няма желаещи да ползват социални услуги.</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Пещера, различна от  общината по настоящ адрес</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Броят на лицата, които ползват социални услуги на територията на община Пещера, от други общини е 4.</w:t>
      </w:r>
    </w:p>
    <w:tbl>
      <w:tblPr/>
      <w:tblGrid>
        <w:gridCol w:w="4541"/>
        <w:gridCol w:w="4509"/>
      </w:tblGrid>
      <w:tr>
        <w:trPr>
          <w:trHeight w:val="1" w:hRule="atLeast"/>
          <w:jc w:val="left"/>
        </w:trPr>
        <w:tc>
          <w:tcPr>
            <w:tcW w:w="4541"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09" w:type="dxa"/>
            <w:tcBorders>
              <w:top w:val="single" w:color="000000" w:sz="8"/>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1"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КЦД</w:t>
            </w:r>
          </w:p>
        </w:tc>
        <w:tc>
          <w:tcPr>
            <w:tcW w:w="4509"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Пещера за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предоставените данни и от таблицата става ясно, че за периода 2017 - 2021 г., населението на община Пещера намалява, което се дължи на редица социални, икономически и други фактори.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община Пещера, през 2017 г. са родени 160 деца, а през 2021 г.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111 </w:t>
      </w:r>
      <w:r>
        <w:rPr>
          <w:rFonts w:ascii="Times New Roman" w:hAnsi="Times New Roman" w:cs="Times New Roman" w:eastAsia="Times New Roman"/>
          <w:color w:val="auto"/>
          <w:spacing w:val="0"/>
          <w:position w:val="0"/>
          <w:sz w:val="24"/>
          <w:shd w:fill="auto" w:val="clear"/>
        </w:rPr>
        <w:t xml:space="preserve">деца. Един от най</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тревожните демографски проблеми в общината в момента е относително високото ниво на смъртност. Основен фактор, обуславящ динамиката в общата смъртност е процесът на демографско остаряване. В община Пещера, през 2017 г. броят на умрелите е 262 души, докато през 2021 г. той достига до 375 души.</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които функционират на територията на община Пещера към момента на извършване на анализа, разполагат с необходимия брой квалифициран персонал и няма незаети позиции.</w:t>
      </w:r>
    </w:p>
    <w:p>
      <w:pPr>
        <w:keepNext w:val="true"/>
        <w:tabs>
          <w:tab w:val="left" w:pos="862" w:leader="none"/>
        </w:tabs>
        <w:spacing w:before="240" w:after="6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РАКИТОВО</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са използвани официални източници на информация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Националния статистически институт, ДСП, ДБТ и общинска администрация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Ракитово.</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Ракитово, към 31.12.2021 г., е 15 663 жители, от тях 3 258 деца до 18-годишна възраст. Общият брой на лицата с трайни увреждания е 1 299, от тях деца 73.</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Ракитово са разкрити 4 социални услуги, всички се предоставят в гр. Ракитово. Общият капацитет на социалните услуги е за 147 потребители, в т.ч. 43 асистентска подкрепа.</w:t>
      </w:r>
    </w:p>
    <w:tbl>
      <w:tblPr/>
      <w:tblGrid>
        <w:gridCol w:w="3346"/>
        <w:gridCol w:w="1358"/>
        <w:gridCol w:w="1505"/>
        <w:gridCol w:w="1671"/>
        <w:gridCol w:w="1180"/>
      </w:tblGrid>
      <w:tr>
        <w:trPr>
          <w:trHeight w:val="1" w:hRule="atLeast"/>
          <w:jc w:val="center"/>
        </w:trPr>
        <w:tc>
          <w:tcPr>
            <w:tcW w:w="334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z w:val="22"/>
                <w:shd w:fill="auto" w:val="clear"/>
              </w:rPr>
            </w:pPr>
          </w:p>
        </w:tc>
        <w:tc>
          <w:tcPr>
            <w:tcW w:w="1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ДЦДМУ</w:t>
            </w:r>
          </w:p>
        </w:tc>
        <w:tc>
          <w:tcPr>
            <w:tcW w:w="15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ЦСРИПЛ</w:t>
            </w:r>
          </w:p>
        </w:tc>
        <w:tc>
          <w:tcPr>
            <w:tcW w:w="16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ЦНСТПЛФУ</w:t>
            </w:r>
          </w:p>
        </w:tc>
        <w:tc>
          <w:tcPr>
            <w:tcW w:w="11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center"/>
        </w:trPr>
        <w:tc>
          <w:tcPr>
            <w:tcW w:w="334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6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center"/>
        </w:trPr>
        <w:tc>
          <w:tcPr>
            <w:tcW w:w="334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c>
          <w:tcPr>
            <w:tcW w:w="15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70</w:t>
            </w:r>
          </w:p>
        </w:tc>
        <w:tc>
          <w:tcPr>
            <w:tcW w:w="16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11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43</w:t>
            </w:r>
          </w:p>
        </w:tc>
      </w:tr>
    </w:tbl>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Ракитово</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община Ракитово има 6 желаещи лица да ползват 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tbl>
      <w:tblPr/>
      <w:tblGrid>
        <w:gridCol w:w="3160"/>
        <w:gridCol w:w="5900"/>
      </w:tblGrid>
      <w:tr>
        <w:trPr>
          <w:trHeight w:val="1" w:hRule="atLeast"/>
          <w:jc w:val="center"/>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center"/>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Асистентска подкрепа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bl>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Ракитово,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Броят на лицата, които ползват социални услуги на територията на община Ракитово, от други общини е 7.</w:t>
      </w:r>
    </w:p>
    <w:tbl>
      <w:tblPr/>
      <w:tblGrid>
        <w:gridCol w:w="4541"/>
        <w:gridCol w:w="4509"/>
      </w:tblGrid>
      <w:tr>
        <w:trPr>
          <w:trHeight w:val="1" w:hRule="atLeast"/>
          <w:jc w:val="left"/>
        </w:trPr>
        <w:tc>
          <w:tcPr>
            <w:tcW w:w="4541"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09" w:type="dxa"/>
            <w:tcBorders>
              <w:top w:val="single" w:color="000000" w:sz="8"/>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1"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ЦНСТПЛФУ</w:t>
            </w:r>
          </w:p>
        </w:tc>
        <w:tc>
          <w:tcPr>
            <w:tcW w:w="4509"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bl>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Ракитово за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в община Ракитово от данни на последно преброяване към 31.12.2022 година е 15680 човека ,като градското население наброява 12 961 човека общо за гр. Ракитово и гр. Костандово, за село Дорково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2 711 </w:t>
      </w:r>
      <w:r>
        <w:rPr>
          <w:rFonts w:ascii="Times New Roman" w:hAnsi="Times New Roman" w:cs="Times New Roman" w:eastAsia="Times New Roman"/>
          <w:color w:val="auto"/>
          <w:spacing w:val="0"/>
          <w:position w:val="0"/>
          <w:sz w:val="24"/>
          <w:shd w:fill="auto" w:val="clear"/>
        </w:rPr>
        <w:t xml:space="preserve">човека.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децата от 0 до 7 години е 1340 броя деца ,а общият брой на децата до 18 годишна възраст е 3 258 деца. Населението в трудоспособна възраст е 10 250 човека.</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Голям е процента на хората с увреждания от общината. Общият брой на пълнолетните лица с трайни увреждания е 1266, като тези в над трудоспособна възраст с трайни увреждания са 801 човека ,а в трудоспособна възраст са 425 човека. Децата с трайни увреждания са 73 на брой.</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Естественият прираст на населението е отрицателен, но тенденцията е в посока завишаване броя на хората с трайни увреждания в община Ракитово, както за пълнолетни лица така и за деца с трайни увреждания.</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Тези цифри са показател за голяма потребност от социални услуги за деца и лица с трайни увреждания, удовлетворяващи потребности им.</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които функционират на територията на община Ракитово към момента на извършване на анализа, разполагат с необходимия брой квалифициран персонал. За всички служители се осигуряват супервизии, свързани с подобряване на психо-емоционалното им състояние, както и индивидуални сесии, свързани с възникнала необходимост по подадена заявка от служител. Специалистите участват в обучения, касаещи новостите в нормативната база по предоставяне на съответната социална услуга по ЗСУ, ППЗСУ и всички действащи наредби свързани с тях.</w:t>
      </w:r>
    </w:p>
    <w:p>
      <w:pPr>
        <w:keepNext w:val="true"/>
        <w:tabs>
          <w:tab w:val="left" w:pos="862" w:leader="none"/>
        </w:tabs>
        <w:spacing w:before="240" w:after="6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СЕПТЕМВРИ</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са използвани официални източници на информация - институции на общинско и областно ниво - като ДСП - Септември, отдел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Закрила на детето“, РУО Пазарджик, РЗОК, ДБТ и др., общинска  администрация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ГРАО  и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Хуманитарни дейности, образование и култура“ и др.,</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Септември, към 31.12.2021 г. е 23 348 жители, от тях 5 738 деца до 18-годишна възраст. Общия брой на лицата с трайни увреждания е 2 213, от тях деца 66.</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Септември е разкрита 1 социална услуга, ситуирана на в гр. Септември, с капацитет 59 места.</w:t>
      </w:r>
    </w:p>
    <w:tbl>
      <w:tblPr/>
      <w:tblGrid>
        <w:gridCol w:w="6652"/>
        <w:gridCol w:w="2408"/>
      </w:tblGrid>
      <w:tr>
        <w:trPr>
          <w:trHeight w:val="1" w:hRule="atLeast"/>
          <w:jc w:val="left"/>
        </w:trPr>
        <w:tc>
          <w:tcPr>
            <w:tcW w:w="66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z w:val="22"/>
                <w:shd w:fill="auto" w:val="clear"/>
              </w:rPr>
            </w:pPr>
          </w:p>
        </w:tc>
        <w:tc>
          <w:tcPr>
            <w:tcW w:w="24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left"/>
        </w:trPr>
        <w:tc>
          <w:tcPr>
            <w:tcW w:w="66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4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66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4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59</w:t>
            </w:r>
          </w:p>
        </w:tc>
      </w:tr>
    </w:tbl>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Септември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Има 10 лица, които желаят да ползват социални услуги на територията на община Септември. По услуги:</w:t>
      </w: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Асистентска подкрепа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r>
    </w:tbl>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Септември,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лица от други общини, ползващи Асистентска подкрепа в гр. Септември</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Септември за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Текущата демографска ситуация в страната се характеризира с продължаващо намаляване и застаряване на населението, ниска раждаемост и задържащо се високо равнище на общата и детската смъртност. Не прави изключение и община Септември.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Намаляване на общия брой на населението.</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Естественият прираст на населението  продължава да бъде отрицателен през последните четири години като промяната през 2021 е сериозна в посока намаление.</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Раждаемостта бележи ръст до 2019 година, но след това се наблюдава спад през 2020 и 2021 година, които бяха белязани от пандемията от COVID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19. </w:t>
      </w:r>
      <w:r>
        <w:rPr>
          <w:rFonts w:ascii="Times New Roman" w:hAnsi="Times New Roman" w:cs="Times New Roman" w:eastAsia="Times New Roman"/>
          <w:color w:val="auto"/>
          <w:spacing w:val="0"/>
          <w:position w:val="0"/>
          <w:sz w:val="24"/>
          <w:shd w:fill="auto" w:val="clear"/>
        </w:rPr>
        <w:t xml:space="preserve">Смъртността има лек спад през 2018 и 2019 година, но през 2020 и 2022 година се повишава драстично.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Съществуващата трайна тенденция за намаляване на броя на населението се подсилва и от засилените миграционни процеси на населението.</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момента на изготвяне на анализа в социалната услуга Асистентска подкрепа са утвърдени 4 щатни бройки за асистент.</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Традиционно в общината делът на нискоквалифицираните и нискообразованите безработни е най-голям.</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Голямата част от местата за специалисти с висше образование остават трайно незаети поради слабата мобилност на работната сила с висше образование (особено за работа в отдалечени селски райони).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Септември не може  да гарантира,  че при  разкриване  на услуги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общодостъпни, дневни и резидентни, ще се осигури необходимия специализиран и общ персонал</w:t>
      </w:r>
    </w:p>
    <w:p>
      <w:pPr>
        <w:keepNext w:val="true"/>
        <w:tabs>
          <w:tab w:val="left" w:pos="862" w:leader="none"/>
        </w:tabs>
        <w:spacing w:before="240" w:after="6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СТРЕЛЧА</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са използвани официални източници на информация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институциите на общинско ниво - като ДСП, РИО на МОН, РЗОК, ДБТ, общинска администрация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ГРАО и Дирекцията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ХДЗЕТСУСДТ“.</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Стрелча, към 31.12.2021 г. е 4441 жители, от тях 863 деца до 18-годишна възраст. Общия брой на лицата с трайни увреждания е 493, от тях деца 13.</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Стрелча са разкрити 2 социални услуги и двете функционират на територията на гр. Стрелча. Общият капацитет на социалните услуги е за 55 потребители, в т.ч. 15 асистентска подкрепа.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983"/>
        <w:gridCol w:w="2696"/>
        <w:gridCol w:w="2381"/>
      </w:tblGrid>
      <w:tr>
        <w:trPr>
          <w:trHeight w:val="1" w:hRule="atLeast"/>
          <w:jc w:val="left"/>
        </w:trPr>
        <w:tc>
          <w:tcPr>
            <w:tcW w:w="398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z w:val="22"/>
                <w:shd w:fill="auto" w:val="clear"/>
              </w:rPr>
            </w:pPr>
          </w:p>
        </w:tc>
        <w:tc>
          <w:tcPr>
            <w:tcW w:w="26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ЦСРИД</w:t>
            </w:r>
          </w:p>
        </w:tc>
        <w:tc>
          <w:tcPr>
            <w:tcW w:w="23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left"/>
        </w:trPr>
        <w:tc>
          <w:tcPr>
            <w:tcW w:w="398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6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3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98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6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c>
          <w:tcPr>
            <w:tcW w:w="23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bl>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Стрелча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желаещи да ползват социални услуги на територията на община Стрелча.</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Стрелча, различна от  общината по настоящ адрес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от други общини, които ползват социални услуги на територията на община Стрелча е 7. </w:t>
      </w:r>
    </w:p>
    <w:tbl>
      <w:tblPr/>
      <w:tblGrid>
        <w:gridCol w:w="4541"/>
        <w:gridCol w:w="4509"/>
      </w:tblGrid>
      <w:tr>
        <w:trPr>
          <w:trHeight w:val="1" w:hRule="atLeast"/>
          <w:jc w:val="left"/>
        </w:trPr>
        <w:tc>
          <w:tcPr>
            <w:tcW w:w="4541"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09" w:type="dxa"/>
            <w:tcBorders>
              <w:top w:val="single" w:color="000000" w:sz="8"/>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1" w:type="dxa"/>
            <w:tcBorders>
              <w:top w:val="single" w:color="000000" w:sz="0"/>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ЦСРИД</w:t>
            </w:r>
          </w:p>
        </w:tc>
        <w:tc>
          <w:tcPr>
            <w:tcW w:w="4509" w:type="dxa"/>
            <w:tcBorders>
              <w:top w:val="single" w:color="000000" w:sz="0"/>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bl>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Стрелча за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Демографската ситуация на община Стрелча се определя от много фактори, обусловени от историческо развитие, социално-икономическо развитие, както и възрастова, полова, образователна, етническа структури на населението, раждаемост, смъртност, миграции и др.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Данните от текущата демографска статистика показват, че в община Стрелча към 2021 г. населението наброява 4441 д., което съставлява 1,8% от населението на област Пазарджик, което е 252 038 д. Общината се нарежда на последно място сред 12-те общини.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Наблюдава се устойчива тенденция за намаляване броя на населението в общината през последните години, но тя е по-слабо изразена в сравнение с областните показатели. Устойчивата тенденция на обезлюдяване на общината е трудно да се преодолее и са необходими още по-целенасочени усилия за овладяване на този процес.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Естественият прираст на населението е с постоянна отрицателна стойност. Тенденцията в броя на населението в община Стрелча е към неговото непрекъснато намаляване.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Разпределението на населението по населени места показва, че основната част от него е съсредоточено в общинския административен център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Стрелча. </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датата на изготвяне на Анализа държавно делегираните услуги ЦСРИ и Асистентска подкрепа се предоставят като комплекс от социални услуги в общината. Служителите, осъществяващи дейности по предоставяне на социални услуги държавно делегирани дейности са 13, като има незает само 0,5 щат за длъжността логопед. Всички служители отговарят на условията за назначаване на съответните позиции. Общината, в качеството ѝ на доставчик на социални услуги, осигурява професионално и кариерно развитие на служителите, работещи в услугите - супервизии, обучения, наставничество и менторство.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Съпоставяйки данните за брой на назначени служители и брой незаети длъжности към момента на извършването на анализа по утвърдените щатни разписания в услугите на територията на община Стрелча, както и въз основа на определените минимални изисквания в стандартите за качество на социалните услуги, касаещи броя и квалификацията на необходимите служители, се очертава необходимост от увеличаване броя на служителите, с оглед на оптимално функциониране на социалните и интегрираните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tabs>
          <w:tab w:val="left" w:pos="862" w:leader="none"/>
        </w:tabs>
        <w:spacing w:before="240" w:after="6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СЪРНИЦА</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са използвани официални източници на информация- Общинска администрация Сърница, ДСП, ДБТ, Регионална здравна инспекция, Местна комисия за борба с противообществените прояви на малолетни и непълнолетни и др.</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Сърница, към 31.12.2021 г. е 5 068 жители, от тях 1 003 деца до 18-годишна възраст. Общият брой на лицата с трайни увреждания е 648, от тях деца 35.</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Сърница са разкрити 2 социални услуги и двете функционират на територията на гр. Сърница. Общият капацитет на социалните услуги е за 45 потребители, в т.ч. 20 асистентска подкрепа.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983"/>
        <w:gridCol w:w="2696"/>
        <w:gridCol w:w="2381"/>
      </w:tblGrid>
      <w:tr>
        <w:trPr>
          <w:trHeight w:val="1" w:hRule="atLeast"/>
          <w:jc w:val="left"/>
        </w:trPr>
        <w:tc>
          <w:tcPr>
            <w:tcW w:w="398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z w:val="22"/>
                <w:shd w:fill="auto" w:val="clear"/>
              </w:rPr>
            </w:pPr>
          </w:p>
        </w:tc>
        <w:tc>
          <w:tcPr>
            <w:tcW w:w="26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ДЦДМУ</w:t>
            </w:r>
          </w:p>
        </w:tc>
        <w:tc>
          <w:tcPr>
            <w:tcW w:w="23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left"/>
        </w:trPr>
        <w:tc>
          <w:tcPr>
            <w:tcW w:w="398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6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3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98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6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c>
          <w:tcPr>
            <w:tcW w:w="23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r>
    </w:tbl>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Сърница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желаещи да ползват социални услуги на територията на община Сърница.</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Сърница, различна от  общината по настоящ адрес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31.12.2022 г. няма лица от други общини, които ползват социалните услуги, функциониращи на територията на община Сърница.</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Сърница за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През последните пет години / 2017 г. - 2021 г. / населението на община Сърница видимо намалява.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Процесите на раждаемост и смъртност в общината са динамични, нито едната от двете величини не е постоянно намаляваща или увеличаваща.</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предоставените данни за наличните социални услуги на територията на община Сърница е видно, че няма незаети длъжности.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Сърница е възложила предоставянето на ДЦДМУ на НПО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Емпатия”, която стриктно изпълнява задълженията си по осигуряване всички обучения необходими обучения на персонала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Сърница като доставчик на социалната услуга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Асистентска подкрепа” към този момент е организирала въвеждащи и надграждащи обучения на всички лични асистенти.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Съпоставяйки данните за брой на назначени служители по утвърдените щатни разписания в услугите на територията на община Сърница, както и въз основа на определените минимални изисквания в стандартите за качество на социалните услуги, касаещи броя и квалификацията на необходимите служители, се очертава необходимост от увеличаване броя на служителите, с оглед на оптимално функциониране на социалните и интегрираните здравно-социални услуги.</w:t>
      </w:r>
    </w:p>
    <w:p>
      <w:pPr>
        <w:keepNext w:val="true"/>
        <w:spacing w:before="360" w:after="120" w:line="240"/>
        <w:ind w:right="0" w:left="0" w:firstLine="0"/>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АНАЛИЗ НА ПОТРЕБНОСТИТЕ В ОБЛАСТ ПАЗАРДЖИК (обобщено)</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обобщени за област Пазарджик по общини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общините от област Пазарджик информацията за населението по критериите съгласно Наредбата за планиране на социалните услуги е получена от информационна система ГРАО на общините, ДСП, ДБТ, РУО, Местна комисия за борба с противообществените прояви на малолетни и непълнолетни, кметове и кметски наместници, доставчици на социални услуги и др.</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област Пазарджик, към 31.12.2021 г. е 259 316 жители, от тях 44 090 деца до 18-годишна възраст. Общия брой на лицата с трайни увреждания е 26 469, от тях деца 907.</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областта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брои на социалните услуги на територията на област Пазарджик е 82 с 2 340 потребители. Броят на социалните услуги за пълнолетни лица е 46 с 1527 потребители. Социалните услуги за деца са 36 с 813 потребители.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графиките е видно, че на територията на областта преобладават услугите за резидентна грижа (ЦНСТ, КЦ, ПЖ, ЗЖ, ЦВН)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35 </w:t>
      </w:r>
      <w:r>
        <w:rPr>
          <w:rFonts w:ascii="Times New Roman" w:hAnsi="Times New Roman" w:cs="Times New Roman" w:eastAsia="Times New Roman"/>
          <w:color w:val="auto"/>
          <w:spacing w:val="0"/>
          <w:position w:val="0"/>
          <w:sz w:val="24"/>
          <w:shd w:fill="auto" w:val="clear"/>
        </w:rPr>
        <w:t xml:space="preserve">на брой за 398 потребители, броят на консултативните услуги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ДЦ, ЦСРИ, ЦОП) са 33 за 1011 потребители, услугите, които се предоставят в домашна среда (АП) са с общ брой 12 за 665 потребители, услугите, които се предоставят в специализирана институция (ДСХ) са 3 на брой за 258 потребители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област Пазарджик</w:t>
      </w:r>
    </w:p>
    <w:tbl>
      <w:tblPr/>
      <w:tblGrid>
        <w:gridCol w:w="4037"/>
        <w:gridCol w:w="5023"/>
      </w:tblGrid>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Асистентска подкрепа</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28</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ЦНСТПЛД</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ЦНСТПЛУИ</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ЗЖЛУИ</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Общо</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74</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Общо 74 лица са включени в списъците на чакащите за ползване на социални услуги в териториалния обхват на област Пазарджик. Най-голям е броят на лицата, желаещи да ползват социалните услуги Асистентска подкрепа и ЦНСТПЛПР.</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област Пазарджик,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и интегрирани здравно-социални услуги на територията на област Пазарджик, различна от общината по настоящ адрес е 293. Най-голям е техният брой в социалните услуги на територията на общините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Пазарджик, Батак, Брацигово и Велинград. В Пазарджик функционират общо 29 социални услуги, от които и 2 специализирани институции ДСХ с общ брой места - 218. На територията на община Батак функционират общо 4 бр. социални услуги за резидентна грижа за пълнолетни лица с трайни увреждания, съответно умствена изостаналост и психични разстройства.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Впечатление прави, че потребителите на услугите в по-голямата част са от общините на територията на областта.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графиката е представено сравнение между функциониращите към момента социални услуги, финансирани от държавния бюджет, съотнесени към социалните услуги по чл. 15 от ЗСУ, максималния брой потребители, съгласно критериите по Наредбата за планиране на социалните услуги и поетите ангажименти от общините в областта.</w:t>
      </w:r>
    </w:p>
    <w:p>
      <w:pPr>
        <w:spacing w:before="0" w:after="12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област Пазарджик за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Анализа на данните на демографското развитие в област Пазарджик за периода 2021 г.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2017 </w:t>
      </w:r>
      <w:r>
        <w:rPr>
          <w:rFonts w:ascii="Times New Roman" w:hAnsi="Times New Roman" w:cs="Times New Roman" w:eastAsia="Times New Roman"/>
          <w:color w:val="auto"/>
          <w:spacing w:val="0"/>
          <w:position w:val="0"/>
          <w:sz w:val="24"/>
          <w:shd w:fill="auto" w:val="clear"/>
        </w:rPr>
        <w:t xml:space="preserve">г. показва, че продължава отрицателна тенденция за намаляване броя на населението. Отрицателният естествен прираст на населението дава неблагоприятен отпечатък върху демографската структура на областта, също и върху възрастовата такава. Налице е процес на застаряване на населението.</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Трайните тенденции на отрицателен естествен прираст на населението се допълват и от отрицателен механичен прираст, дължащ се на емиграцията на млади хора в трудоспособна възраст, което пък оказва критично влияние пазар на труда.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Текущата демографска ситуация в страната се характеризира с продължаващо намаляване и застаряване на населението, ниска раждаемост и задържащо се високо равнище на общата и детската смъртност. Не прави изключение и област Пазарджик.</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демографското развитие на община Пазарджик пък се наблюдава тенденция на сравнителен застой в промяната на броя на населението, което се обуславя от факта, че гр. Пазарджик е както общински административен център, така и областен.</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на територията на област Пазарджик</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представените данни става ясно, че необходимите служители за функционирането на съществуващите социални услуги в област Пазарджик са обезпечени към момента на изготвяне на Анализа от общината.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Видно е, че общините в областта, като доставчици на социалните услуги осигуряват професионално и кариерно развитие на служителите и специалистите, работещи в социалните услуги, чрез провеждане на поддържащи обучения, супервизии и работни срещи, насочени към повишаване на професионалните умения и подобряване качеството на грижа спрямо потребителите.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Съпоставяйки данните за брой на назначени служители по утвърдените щатни разписания в услугите на териториите на общините, както и въз основа на определените минимални изисквания в стандартите за качество на социалните услуги, касаещи броя и квалификацията на необходимите служители, се очертава необходимост от увеличаване броя на служителите, с оглед на оптимално функциониране на социалните и интегрираните здравно-социални услуги на общинско и областно ниво. Които се финансират от държавния бюджет.</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Пазарджик</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 Пазарджик е развита мрежа от консултативни социални услуги в общността и услуги за резидентна грижа, които са изцяло съобразени и удовлетворяват в най-голяма степен потребностите на потребителите.</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има голям брой социални услуги за резидентна грижа за пълнолетни лица, но броят им е недостатъчен за задоволяване на потребностите на пълнолетните лица с ментални увреждания;</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Недостатъчен е броят на  социалните услуги, които се предоставят в домашна среда;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няма интегрирани здравно-социални услуги за деца и пълнолетни лица;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Във връзка с предстоящото разработване на Националната карта на социалните услуги, е планирано разкриване на нови социални услуги за резидентна грижа, с цел удовлетворяване на потребностите на общинско и областно ниво. Договорени са социални услуги за дневна и  резидентна грижа, съобразно критериите, разписани в  НКСУ.</w:t>
      </w:r>
    </w:p>
    <w:p>
      <w:pPr>
        <w:keepNext w:val="true"/>
        <w:numPr>
          <w:ilvl w:val="0"/>
          <w:numId w:val="10349"/>
        </w:numPr>
        <w:tabs>
          <w:tab w:val="left" w:pos="718" w:leader="none"/>
          <w:tab w:val="left" w:pos="576" w:leader="none"/>
        </w:tabs>
        <w:spacing w:before="360" w:after="120" w:line="240"/>
        <w:ind w:right="0" w:left="576" w:hanging="576"/>
        <w:jc w:val="both"/>
        <w:rPr>
          <w:rFonts w:ascii="Times New Roman" w:hAnsi="Times New Roman" w:cs="Times New Roman" w:eastAsia="Times New Roman"/>
          <w:b/>
          <w:color w:val="003366"/>
          <w:spacing w:val="0"/>
          <w:position w:val="0"/>
          <w:sz w:val="28"/>
          <w:shd w:fill="auto" w:val="clear"/>
        </w:rPr>
      </w:pPr>
      <w:r>
        <w:rPr>
          <w:rFonts w:ascii="Times New Roman" w:hAnsi="Times New Roman" w:cs="Times New Roman" w:eastAsia="Times New Roman"/>
          <w:b/>
          <w:color w:val="003366"/>
          <w:spacing w:val="0"/>
          <w:position w:val="0"/>
          <w:sz w:val="28"/>
          <w:shd w:fill="auto" w:val="clear"/>
        </w:rPr>
        <w:t xml:space="preserve">ОБЛАСТ СМОЛЯН</w:t>
      </w:r>
    </w:p>
    <w:p>
      <w:pPr>
        <w:keepNext w:val="true"/>
        <w:tabs>
          <w:tab w:val="left" w:pos="862" w:leader="none"/>
        </w:tabs>
        <w:spacing w:before="240" w:after="6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БАНИТЕ</w:t>
      </w:r>
    </w:p>
    <w:p>
      <w:pPr>
        <w:spacing w:before="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Информацията, необходима за извършване на настоящия анализ, се базира на данни от НСИ,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Смолян, РЗИ, ДБТ, общинска администрация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ГРАО и отделите, отговорни за социални, образователни и хуманитарни дейности и др.,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Баните , към 31.12.2021 г. е 3302 жители, от тях 256 деца до 18-годишна възраст. Общият брой на лицата с трайни увреждания е 782, от тях деца 6.</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Баните има две действащи социални услуги, делегирани от държавата дейности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ЦСРИ и АП, с общ брой потребители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43 </w:t>
      </w:r>
      <w:r>
        <w:rPr>
          <w:rFonts w:ascii="Times New Roman" w:hAnsi="Times New Roman" w:cs="Times New Roman" w:eastAsia="Times New Roman"/>
          <w:color w:val="auto"/>
          <w:spacing w:val="0"/>
          <w:position w:val="0"/>
          <w:sz w:val="24"/>
          <w:shd w:fill="auto" w:val="clear"/>
        </w:rPr>
        <w:t xml:space="preserve">лица.</w:t>
      </w:r>
    </w:p>
    <w:tbl>
      <w:tblPr/>
      <w:tblGrid>
        <w:gridCol w:w="4184"/>
        <w:gridCol w:w="3359"/>
        <w:gridCol w:w="1517"/>
      </w:tblGrid>
      <w:tr>
        <w:trPr>
          <w:trHeight w:val="1" w:hRule="atLeast"/>
          <w:jc w:val="left"/>
        </w:trPr>
        <w:tc>
          <w:tcPr>
            <w:tcW w:w="41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z w:val="22"/>
                <w:shd w:fill="auto" w:val="clear"/>
              </w:rPr>
            </w:pPr>
          </w:p>
        </w:tc>
        <w:tc>
          <w:tcPr>
            <w:tcW w:w="335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ЦСРИПЛ</w:t>
            </w:r>
          </w:p>
        </w:tc>
        <w:tc>
          <w:tcPr>
            <w:tcW w:w="15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41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СУ</w:t>
            </w:r>
          </w:p>
        </w:tc>
        <w:tc>
          <w:tcPr>
            <w:tcW w:w="335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1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потребители</w:t>
            </w:r>
          </w:p>
        </w:tc>
        <w:tc>
          <w:tcPr>
            <w:tcW w:w="335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5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w:t>
            </w:r>
          </w:p>
        </w:tc>
      </w:tr>
    </w:tbl>
    <w:p>
      <w:pPr>
        <w:spacing w:before="0" w:after="12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Баните</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момента на изготвяне на анализа, не са налични регистрирани желаещи да ползват социалните услуги, предоставяни на територията на общината като делегирани от държавата дейност.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Баните, не функционират  интегрирани здравно-социални услуги.</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от други общини, които ползват социални и интегрирани здравно-социални услуги на територията на община Баните</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лица от други общини, които да ползват социални услуги в община Баните.</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Баните за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Раждаемост: Коефициентът на раждаемост на 1000 души в община Баните е с ниски стойности и продължава да намалява от 3,6%0 през 2011 г. до 24,%0 през 2021 г.</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Смъртност: Коефициента на смъртност на 1000 души от населението също е негативен като стойностите са съответно 20,33 %0 през 2011 г. и 37,3 %0 през 2021 г.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Разликата между живородените деца и общия брой на починалите за една година на 1000 души представлява естествения прираст на населението. При положителни стойности се приема, че са налице благоприятни демографски тенденции, а при отрицателни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неблагоприятни такива. В община Баните за целия период стойностите са отрицателни от -16,7%0 за 2011 г. и достигат до -34,9%0 за 2021 г.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Механичен прираст е разликата между заселилите се и изселилите се жители на дадена територия. Положителните стойности на индикатора се считат за благоприятна демографска тенденция. За община Баните стойностите са от 34,6%0 за 2011 г. и достигат до -14,2 %0 за 2021 г.</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Като се съпоставиха данните за брой на назначени служители и брой незаети длъжности към момента на извършването на анализа по утвърденото щатно разписание в  ЦСРИ, както и въз основа на определените минимални изисквания в стандартите за качество на социалните услуги, касаещи броя и квалификацията на необходимите служители, се стигна до следните изводи:</w:t>
      </w:r>
    </w:p>
    <w:p>
      <w:pPr>
        <w:numPr>
          <w:ilvl w:val="0"/>
          <w:numId w:val="10361"/>
        </w:numPr>
        <w:spacing w:before="0" w:after="120" w:line="240"/>
        <w:ind w:right="0" w:left="1428"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Във всички услуги може да се наложи изменение на длъжностното щатно разписание, относно длъжностите за да се изпълнят изискванията, заложени в стандартите за качество на НКСУ;</w:t>
      </w:r>
    </w:p>
    <w:p>
      <w:pPr>
        <w:numPr>
          <w:ilvl w:val="0"/>
          <w:numId w:val="10361"/>
        </w:numPr>
        <w:spacing w:before="0" w:after="120" w:line="240"/>
        <w:ind w:right="0" w:left="1428"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 оглед трансформирането на социалните услуги в нови такива по реда на чл.12 и чл.15 от ЗСУ и при спазване изискванията на Наредбата за качество на социалните услуги е възможно да се появи необходимост от други специалисти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рехабилитатор, психолог, социален работник.  Може да се осигурят кадри от категориите: хигиенист, технически сътрудник, трудотерапевт  и  шофьор и др.</w:t>
      </w:r>
    </w:p>
    <w:p>
      <w:pPr>
        <w:keepNext w:val="true"/>
        <w:tabs>
          <w:tab w:val="left" w:pos="862" w:leader="none"/>
        </w:tabs>
        <w:spacing w:before="240" w:after="6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БОРИНО</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Представеният анализ на потребностите от социални услуги и планирането на социалните услуги е изготвен на основата на събраните данни за броя и състоянието на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рисковите групи през последните 5 години. Общинска администрация Борино, ДБТ- Борино, ДСП - Девин, ИРМ Борино, Отдел ГРАО,  РЗИ -  гр. Смолян,  Местна комисия за борба с противообществените прояви на малолетни и непълнолетни и др.;</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Борино, към 31.12.2021 г. е 3122 жители, от тях 410 деца до 18-годишна възраст. Общия брой на лицата с трайни увреждания е 300, от тях деца 1.</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Борино функционира като държавно делегирана дейност единствено социалната услуга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Асистентска подкрепа“.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5693"/>
        <w:gridCol w:w="3367"/>
      </w:tblGrid>
      <w:tr>
        <w:trPr>
          <w:trHeight w:val="1" w:hRule="atLeast"/>
          <w:jc w:val="left"/>
        </w:trPr>
        <w:tc>
          <w:tcPr>
            <w:tcW w:w="569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z w:val="22"/>
                <w:shd w:fill="auto" w:val="clear"/>
              </w:rPr>
            </w:pPr>
          </w:p>
        </w:tc>
        <w:tc>
          <w:tcPr>
            <w:tcW w:w="336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569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СУ</w:t>
            </w:r>
          </w:p>
        </w:tc>
        <w:tc>
          <w:tcPr>
            <w:tcW w:w="336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569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потребители</w:t>
            </w:r>
          </w:p>
        </w:tc>
        <w:tc>
          <w:tcPr>
            <w:tcW w:w="336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Борино</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Борино няма регистрирани желаещи да ползват функциониращата социална услуга, но пък при определен брой потребители на АП, при нейното създаване, - 25, същата реално обслужва 39 души.</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Борино,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регистрирани потребители от други общини.</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Борино за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Демографската ситуация както на национално ниво, така и на общинско ниво продължава да бъде с негативен характер. Застаряване на населението, ниска раждаемост, висока смъртност и отрицателен механичен прираст характеризират демографията в община Борино. За последните 5 години раждаемостта се запазва, дори се наблюдава тенденция към увеличаване. Смъртността намалява, но въпреки всичко естественият прираст е отрицателен. Механичен прираст е разликата между заселилите се и изселилите се жители на дадена територия. Положителните стойности на индикатора се считат за благоприятна демографска тенденция. За община Борино стойностите са отрицателни и постепенно намаляват.</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момента на извършване на анализа от страна на община Борино няма идентифицирана необходимост от назначаване на още персонал в действащата социална услуга.</w:t>
      </w:r>
    </w:p>
    <w:p>
      <w:pPr>
        <w:keepNext w:val="true"/>
        <w:tabs>
          <w:tab w:val="left" w:pos="862" w:leader="none"/>
        </w:tabs>
        <w:spacing w:before="240" w:after="6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ДЕВИН</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 на анализа е използвана информация, получена от: Териториално статистическо бюро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Смолян; РЗИ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Смолян,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Девин,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Девин, както и от съществуващи социални услуги с доставчик община Девин.</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Девин, към 31.12.2021 г. е 10709 жители, от тях 1324 деца до 18-годишна възраст, броят на пълнолетните лица е 9379. Общият брой на лицата с трайни увреждания е 2058, от тях деца 5.</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Девин функционират общо две социални услуги, делегирани от държавата дейности.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p>
    <w:tbl>
      <w:tblPr/>
      <w:tblGrid>
        <w:gridCol w:w="3562"/>
        <w:gridCol w:w="3278"/>
        <w:gridCol w:w="2220"/>
      </w:tblGrid>
      <w:tr>
        <w:trPr>
          <w:trHeight w:val="1" w:hRule="atLeast"/>
          <w:jc w:val="left"/>
        </w:trPr>
        <w:tc>
          <w:tcPr>
            <w:tcW w:w="356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z w:val="22"/>
                <w:shd w:fill="auto" w:val="clear"/>
              </w:rPr>
            </w:pPr>
          </w:p>
        </w:tc>
        <w:tc>
          <w:tcPr>
            <w:tcW w:w="327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22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356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СУ</w:t>
            </w:r>
          </w:p>
        </w:tc>
        <w:tc>
          <w:tcPr>
            <w:tcW w:w="327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2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56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потребители</w:t>
            </w:r>
          </w:p>
        </w:tc>
        <w:tc>
          <w:tcPr>
            <w:tcW w:w="327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22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100</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Девин</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социалните услуги на територията на община Девин е 86 лица, които респективно са регистрирани в регистъра на чакащите,</w:t>
      </w:r>
    </w:p>
    <w:tbl>
      <w:tblPr/>
      <w:tblGrid>
        <w:gridCol w:w="4530"/>
        <w:gridCol w:w="4530"/>
      </w:tblGrid>
      <w:tr>
        <w:trPr>
          <w:trHeight w:val="1" w:hRule="atLeast"/>
          <w:jc w:val="left"/>
        </w:trPr>
        <w:tc>
          <w:tcPr>
            <w:tcW w:w="45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Социална услуга</w:t>
            </w:r>
          </w:p>
        </w:tc>
        <w:tc>
          <w:tcPr>
            <w:tcW w:w="45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желаещи да ползват СУ</w:t>
            </w:r>
          </w:p>
        </w:tc>
      </w:tr>
      <w:tr>
        <w:trPr>
          <w:trHeight w:val="1" w:hRule="atLeast"/>
          <w:jc w:val="left"/>
        </w:trPr>
        <w:tc>
          <w:tcPr>
            <w:tcW w:w="45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45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86</w:t>
            </w:r>
          </w:p>
        </w:tc>
      </w:tr>
    </w:tbl>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Девин,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tbl>
      <w:tblPr/>
      <w:tblGrid>
        <w:gridCol w:w="4541"/>
        <w:gridCol w:w="4509"/>
      </w:tblGrid>
      <w:tr>
        <w:trPr>
          <w:trHeight w:val="1" w:hRule="atLeast"/>
          <w:jc w:val="left"/>
        </w:trPr>
        <w:tc>
          <w:tcPr>
            <w:tcW w:w="4541" w:type="dxa"/>
            <w:tcBorders>
              <w:top w:val="single" w:color="000000" w:sz="8"/>
              <w:left w:val="single" w:color="000000" w:sz="8"/>
              <w:bottom w:val="single" w:color="000000" w:sz="4"/>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09" w:type="dxa"/>
            <w:tcBorders>
              <w:top w:val="single" w:color="000000" w:sz="8"/>
              <w:left w:val="single" w:color="000000" w:sz="0"/>
              <w:bottom w:val="single" w:color="000000" w:sz="4"/>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4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bl>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Девин за последните 5 години</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информацията, предоставена от Териториално статистическо бюро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Смолян се вижда, че през последните пет години общият брой на населението в община Девин непрекъснато намалява. Ръстът на раждаемост е по-нисък от ръста на смъртност, което води до отрицателен естествен прираст, прогресивно нарастващ през последните пет години. Поради намаленото предлагане на работа или осигуряване на сезонна заетост, голяма част от младите хора от общината се преместват да живеят в по-големи градове, във вътрешността на страната. Поради тази причина, механичният прираст на населението е отрицателна величина.</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извършване на съпоставка на данните за брой назначени служители и брой незаети длъжности към момента на извършване на анализа, може да се направи извод, че не се налага да бъде извършвано изменение на длъжностното разписание в социалните услуги. Към настоящия момент са постигнати изискванията за брой, квалификация и състав на служителите, заложени в стандартите за качество по НКСУ.</w:t>
      </w:r>
    </w:p>
    <w:p>
      <w:pPr>
        <w:keepNext w:val="true"/>
        <w:tabs>
          <w:tab w:val="left" w:pos="862" w:leader="none"/>
        </w:tabs>
        <w:spacing w:before="240" w:after="6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ДОСПАТ</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 изготвянето на настоящия община Доспат е използвала информация от институциите на общинско ниво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Девин,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Девин; институциите на областно ниво  - териториално статистическо бюро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Смолян, регионална здравна инспекция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Смолян; общинска администрация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ГРАО и отделите, отговорни за социални, образователни и хуманитарни дейности; план за интегрирано развитие на Община Доспат, НСИ.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Доспат, към 31.12.2021 г. е 7564 жители, от тях 1140 деца до 18-годишна възраст, броят на пълнолетните лица е 6424. Общият брой на лицата с трайни увреждания е 669, от тях деца 20.</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Съществуващите социални услуги на територията на община Доспат, които са държавно делегирана дейност са 3 с общ брой потребители 60.</w:t>
      </w:r>
    </w:p>
    <w:tbl>
      <w:tblPr/>
      <w:tblGrid>
        <w:gridCol w:w="3349"/>
        <w:gridCol w:w="2395"/>
        <w:gridCol w:w="2102"/>
        <w:gridCol w:w="1214"/>
      </w:tblGrid>
      <w:tr>
        <w:trPr>
          <w:trHeight w:val="1" w:hRule="atLeast"/>
          <w:jc w:val="left"/>
        </w:trPr>
        <w:tc>
          <w:tcPr>
            <w:tcW w:w="334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z w:val="22"/>
                <w:shd w:fill="auto" w:val="clear"/>
              </w:rPr>
            </w:pPr>
          </w:p>
        </w:tc>
        <w:tc>
          <w:tcPr>
            <w:tcW w:w="239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210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121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334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СУ</w:t>
            </w:r>
          </w:p>
        </w:tc>
        <w:tc>
          <w:tcPr>
            <w:tcW w:w="239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10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1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34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потребители</w:t>
            </w:r>
          </w:p>
        </w:tc>
        <w:tc>
          <w:tcPr>
            <w:tcW w:w="239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210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21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r>
    </w:tbl>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Доспат</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До момента на създаване на анализа на територията на община Доспат няма желаещи лица  записани в регистъра на чакащите.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Произтичайки от горепосочените данни към настоящият момент социалните услуги изцяло покриват потребностите на лицата  от най-уязвимите групи на  общинско ниво.</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Доспат,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община Доспат няма потребители ползващи социални услуги от други общини.</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Доспат за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база на годишната демографска статистика, представена от НСИ, можем да направим извода, че населението на община Доспат продължава да намалява и след 2017 г. За периода от 2017 г. до 2021 г. то е намаляло с близо 5,5 %. На база на представената информация може да се изведе заключението, че демографския проблем, който се наблюдава в повечето общини в страната, е характерен и за община Доспат, дължащ се на отрицателните стойности на естествения прираст, характеризиращи се със застаряване на населението, ниска раждаемост и висока смъртност, както и отрицателните стойности на механичния прираст.</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щатно разписание общият брой на служителите в ДЦДМУ е 13 лица, центъра има необходимост от служители на  длъжност:</w:t>
      </w:r>
    </w:p>
    <w:p>
      <w:pPr>
        <w:numPr>
          <w:ilvl w:val="0"/>
          <w:numId w:val="10409"/>
        </w:numPr>
        <w:spacing w:before="0" w:after="120" w:line="240"/>
        <w:ind w:right="0" w:left="1428"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Директор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0,5 </w:t>
      </w:r>
      <w:r>
        <w:rPr>
          <w:rFonts w:ascii="Times New Roman" w:hAnsi="Times New Roman" w:cs="Times New Roman" w:eastAsia="Times New Roman"/>
          <w:color w:val="auto"/>
          <w:spacing w:val="0"/>
          <w:position w:val="0"/>
          <w:sz w:val="24"/>
          <w:shd w:fill="auto" w:val="clear"/>
        </w:rPr>
        <w:t xml:space="preserve">бр. за осъществяване на дейностите по ръководство;</w:t>
      </w:r>
    </w:p>
    <w:p>
      <w:pPr>
        <w:numPr>
          <w:ilvl w:val="0"/>
          <w:numId w:val="10409"/>
        </w:numPr>
        <w:spacing w:before="0" w:after="120" w:line="240"/>
        <w:ind w:right="0" w:left="1428"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социален работник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бр., рехабилитатор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0,5 </w:t>
      </w:r>
      <w:r>
        <w:rPr>
          <w:rFonts w:ascii="Times New Roman" w:hAnsi="Times New Roman" w:cs="Times New Roman" w:eastAsia="Times New Roman"/>
          <w:color w:val="auto"/>
          <w:spacing w:val="0"/>
          <w:position w:val="0"/>
          <w:sz w:val="24"/>
          <w:shd w:fill="auto" w:val="clear"/>
        </w:rPr>
        <w:t xml:space="preserve">бр., логопед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0,5 </w:t>
      </w:r>
      <w:r>
        <w:rPr>
          <w:rFonts w:ascii="Times New Roman" w:hAnsi="Times New Roman" w:cs="Times New Roman" w:eastAsia="Times New Roman"/>
          <w:color w:val="auto"/>
          <w:spacing w:val="0"/>
          <w:position w:val="0"/>
          <w:sz w:val="24"/>
          <w:shd w:fill="auto" w:val="clear"/>
        </w:rPr>
        <w:t xml:space="preserve">бр.,  психолог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0,5 </w:t>
      </w:r>
      <w:r>
        <w:rPr>
          <w:rFonts w:ascii="Times New Roman" w:hAnsi="Times New Roman" w:cs="Times New Roman" w:eastAsia="Times New Roman"/>
          <w:color w:val="auto"/>
          <w:spacing w:val="0"/>
          <w:position w:val="0"/>
          <w:sz w:val="24"/>
          <w:shd w:fill="auto" w:val="clear"/>
        </w:rPr>
        <w:t xml:space="preserve">бр. и  медицинска сестра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бр., за осъществяване дейности по предоставяне на социални услуги и Детегледач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бр.,</w:t>
      </w:r>
    </w:p>
    <w:p>
      <w:pPr>
        <w:numPr>
          <w:ilvl w:val="0"/>
          <w:numId w:val="10409"/>
        </w:numPr>
        <w:spacing w:before="0" w:after="120" w:line="240"/>
        <w:ind w:right="0" w:left="1428"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Център за обществена подкрепа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щатно разписание общият брой на служителите в ЦОП е 7 лица, като центъра има необходимост от 3 лица, които да заемат длъжност:</w:t>
      </w:r>
    </w:p>
    <w:p>
      <w:pPr>
        <w:numPr>
          <w:ilvl w:val="0"/>
          <w:numId w:val="10411"/>
        </w:numPr>
        <w:spacing w:before="0" w:after="120" w:line="240"/>
        <w:ind w:right="0" w:left="1428"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директор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0,5 </w:t>
      </w:r>
      <w:r>
        <w:rPr>
          <w:rFonts w:ascii="Times New Roman" w:hAnsi="Times New Roman" w:cs="Times New Roman" w:eastAsia="Times New Roman"/>
          <w:color w:val="auto"/>
          <w:spacing w:val="0"/>
          <w:position w:val="0"/>
          <w:sz w:val="24"/>
          <w:shd w:fill="auto" w:val="clear"/>
        </w:rPr>
        <w:t xml:space="preserve">броя; </w:t>
      </w:r>
    </w:p>
    <w:p>
      <w:pPr>
        <w:numPr>
          <w:ilvl w:val="0"/>
          <w:numId w:val="10411"/>
        </w:numPr>
        <w:spacing w:before="0" w:after="120" w:line="240"/>
        <w:ind w:right="0" w:left="1428"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 работници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1,5 </w:t>
      </w:r>
      <w:r>
        <w:rPr>
          <w:rFonts w:ascii="Times New Roman" w:hAnsi="Times New Roman" w:cs="Times New Roman" w:eastAsia="Times New Roman"/>
          <w:color w:val="auto"/>
          <w:spacing w:val="0"/>
          <w:position w:val="0"/>
          <w:sz w:val="24"/>
          <w:shd w:fill="auto" w:val="clear"/>
        </w:rPr>
        <w:t xml:space="preserve">броя; </w:t>
      </w:r>
    </w:p>
    <w:p>
      <w:pPr>
        <w:numPr>
          <w:ilvl w:val="0"/>
          <w:numId w:val="10411"/>
        </w:numPr>
        <w:spacing w:before="0" w:after="120" w:line="240"/>
        <w:ind w:right="0" w:left="1428"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психолог и логопед по 0,5 бр. </w:t>
      </w:r>
    </w:p>
    <w:p>
      <w:pPr>
        <w:numPr>
          <w:ilvl w:val="0"/>
          <w:numId w:val="10411"/>
        </w:numPr>
        <w:spacing w:before="0" w:after="120" w:line="240"/>
        <w:ind w:right="0" w:left="1428"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Асистентска подкрепа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момента на извършване на анализа няма необходимост от назначаване на нови служители, предвид определения брой потребители за община Доспат. </w:t>
      </w:r>
    </w:p>
    <w:p>
      <w:pPr>
        <w:keepNext w:val="true"/>
        <w:tabs>
          <w:tab w:val="left" w:pos="862" w:leader="none"/>
        </w:tabs>
        <w:spacing w:before="240" w:after="6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ЗЛАТОГРАД</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за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 изготвянето на Анализа на потребностите от социални и интегрирани здравно-социални услуги на територията на община Златоград, са използвани актуални данни от общинска администрация, събирани и предоставени от експертите на ГРАО, експертите от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Хуманитарни дейности, благоустрояване, озеленяване и опазване на околната среда“, ДСП -  Златоград, РЗИ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Смолян, Регионално управление на образованието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Смолян, ДБТ - Златоград, НСИ.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Златоград, към 31.12.2021 г. е 12261 жители, от тях 1691 деца до 18-годишна възраст, броят на пълнолетните лица е 10570 . Общият брой на лицата с трайни увреждания е 1039, от тях 22 са деца.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Златоград функционират 5 социални услуги, делегирани от държавния бюджет, с общ брой места 139.</w:t>
      </w:r>
    </w:p>
    <w:tbl>
      <w:tblPr/>
      <w:tblGrid>
        <w:gridCol w:w="2127"/>
        <w:gridCol w:w="1522"/>
        <w:gridCol w:w="1707"/>
        <w:gridCol w:w="1076"/>
        <w:gridCol w:w="1111"/>
        <w:gridCol w:w="1517"/>
      </w:tblGrid>
      <w:tr>
        <w:trPr>
          <w:trHeight w:val="409" w:hRule="auto"/>
          <w:jc w:val="left"/>
        </w:trPr>
        <w:tc>
          <w:tcPr>
            <w:tcW w:w="212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z w:val="22"/>
                <w:shd w:fill="auto" w:val="clear"/>
              </w:rPr>
            </w:pPr>
          </w:p>
        </w:tc>
        <w:tc>
          <w:tcPr>
            <w:tcW w:w="152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170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ЦСРИПЛ</w:t>
            </w:r>
          </w:p>
        </w:tc>
        <w:tc>
          <w:tcPr>
            <w:tcW w:w="10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111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15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r>
      <w:tr>
        <w:trPr>
          <w:trHeight w:val="409" w:hRule="auto"/>
          <w:jc w:val="left"/>
        </w:trPr>
        <w:tc>
          <w:tcPr>
            <w:tcW w:w="212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СУ</w:t>
            </w:r>
          </w:p>
        </w:tc>
        <w:tc>
          <w:tcPr>
            <w:tcW w:w="152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0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0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1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744" w:hRule="auto"/>
          <w:jc w:val="left"/>
        </w:trPr>
        <w:tc>
          <w:tcPr>
            <w:tcW w:w="212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потребители</w:t>
            </w:r>
          </w:p>
        </w:tc>
        <w:tc>
          <w:tcPr>
            <w:tcW w:w="152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170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50</w:t>
            </w:r>
          </w:p>
        </w:tc>
        <w:tc>
          <w:tcPr>
            <w:tcW w:w="10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35</w:t>
            </w:r>
          </w:p>
        </w:tc>
        <w:tc>
          <w:tcPr>
            <w:tcW w:w="111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29</w:t>
            </w:r>
          </w:p>
        </w:tc>
        <w:tc>
          <w:tcPr>
            <w:tcW w:w="15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bl>
    <w:p>
      <w:pPr>
        <w:spacing w:before="0" w:after="12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Златоград</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Златоград, в разкритите социални услуги, няма лица вписани в регистъра на чакащи. Наличните услуги обхващат всички насочени деца, лица и семейства, видно от средногодишната им заетост.</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Златоград, различна от общината по настоящ адрес</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p>
    <w:tbl>
      <w:tblPr/>
      <w:tblGrid>
        <w:gridCol w:w="4541"/>
        <w:gridCol w:w="4509"/>
      </w:tblGrid>
      <w:tr>
        <w:trPr>
          <w:trHeight w:val="1" w:hRule="atLeast"/>
          <w:jc w:val="left"/>
        </w:trPr>
        <w:tc>
          <w:tcPr>
            <w:tcW w:w="4541" w:type="dxa"/>
            <w:tcBorders>
              <w:top w:val="single" w:color="000000" w:sz="8"/>
              <w:left w:val="single" w:color="000000" w:sz="8"/>
              <w:bottom w:val="single" w:color="000000" w:sz="4"/>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09" w:type="dxa"/>
            <w:tcBorders>
              <w:top w:val="single" w:color="000000" w:sz="8"/>
              <w:left w:val="single" w:color="000000" w:sz="0"/>
              <w:bottom w:val="single" w:color="000000" w:sz="4"/>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4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5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4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bl>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Златоград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ГРАО, към 31.12.2020 г. Община Златоград заема второ място по брой на населението, по постоянен адрес, след областния град Смолян. Данните от текущата демографска статистика показват, че в общината, към 2020 г., населението по постоянен адрес е 12 486 жители, което е с 6.3% по малко от броя на населението през 2014 г. - 13 324 жители.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Във всички населени места, включително и град Златоград, числеността на населението (за разглеждания 5 годишен период), показва тенденция към намаляване на броя на населението в общината, което е характерно за почти всички общини в страната. Естественият прираст към 2019 г. е - 116 души.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Разпределението на населението на общината, по типа на населените места (град-села), показва, че по-голямата част от него е съсредоточено в общинския център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Златоград.  Към 2020 г. броят на градското население е 7 563 души, което е 61% от общия брой на населението в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Освен общинския център, с относително по-висок брой на населението са само селата Долен и Старцево.</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момента на извършване на анализа не е установена необходимост от промяна на щатното разписание е отделните социални услуги, тъй като няма незаети бройки.</w:t>
      </w:r>
    </w:p>
    <w:p>
      <w:pPr>
        <w:keepNext w:val="true"/>
        <w:tabs>
          <w:tab w:val="left" w:pos="862" w:leader="none"/>
        </w:tabs>
        <w:spacing w:before="240" w:after="6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МАДАН</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процеса на проучване и събиране на информация община Мадан е използвала като източници на информация НСИ,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Мадан,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 Мадан, ТСБ- гр. Смолян.</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Мадан, към 31.12.2021 г. е 10062 жители, от тях 1400 деца до 18-годишна възраст, броят на пълнолетните лица е 8662. Общият брой на лицата с трайни увреждания е 974, от тях деца 31.</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Мадан, като делегирани от държавата дейности функционират общо  5 социални услуги с общ брой места 211, а именно: ЦНСТПЛПР, ЦСРИД, ДЦСХ, АП и ЦНСТПЛФУ.</w:t>
      </w:r>
    </w:p>
    <w:tbl>
      <w:tblPr/>
      <w:tblGrid>
        <w:gridCol w:w="1932"/>
        <w:gridCol w:w="1973"/>
        <w:gridCol w:w="1308"/>
        <w:gridCol w:w="1113"/>
        <w:gridCol w:w="701"/>
        <w:gridCol w:w="2033"/>
      </w:tblGrid>
      <w:tr>
        <w:trPr>
          <w:trHeight w:val="1" w:hRule="atLeast"/>
          <w:jc w:val="left"/>
        </w:trPr>
        <w:tc>
          <w:tcPr>
            <w:tcW w:w="193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z w:val="22"/>
                <w:shd w:fill="auto" w:val="clear"/>
              </w:rPr>
            </w:pPr>
          </w:p>
        </w:tc>
        <w:tc>
          <w:tcPr>
            <w:tcW w:w="197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13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ЦСРИД</w:t>
            </w:r>
          </w:p>
        </w:tc>
        <w:tc>
          <w:tcPr>
            <w:tcW w:w="111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ДЦСХ</w:t>
            </w:r>
          </w:p>
        </w:tc>
        <w:tc>
          <w:tcPr>
            <w:tcW w:w="70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203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ЦНСТПЛФУ</w:t>
            </w:r>
          </w:p>
        </w:tc>
      </w:tr>
      <w:tr>
        <w:trPr>
          <w:trHeight w:val="1" w:hRule="atLeast"/>
          <w:jc w:val="left"/>
        </w:trPr>
        <w:tc>
          <w:tcPr>
            <w:tcW w:w="193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СУ</w:t>
            </w:r>
          </w:p>
        </w:tc>
        <w:tc>
          <w:tcPr>
            <w:tcW w:w="197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3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1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70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03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93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потребители</w:t>
            </w:r>
          </w:p>
        </w:tc>
        <w:tc>
          <w:tcPr>
            <w:tcW w:w="197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13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50</w:t>
            </w:r>
          </w:p>
        </w:tc>
        <w:tc>
          <w:tcPr>
            <w:tcW w:w="111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70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101</w:t>
            </w:r>
          </w:p>
        </w:tc>
        <w:tc>
          <w:tcPr>
            <w:tcW w:w="203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bl>
    <w:p>
      <w:pPr>
        <w:spacing w:before="0" w:after="12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Възрастните хора и хората с увреждания са предимно социалната група, на която й е необходимо повече внимание и обгрижване, като изключим децата. Най-вече от една определена възраст (над 65 г.) те се нуждаят от специфични грижи и помощ, особено онези от тях, които са самотно живеещи. Стремежът е да се оказва подкрепа в домашна среда и в общността, а когато това вече не е възможно и са изчерпани всички опции, се преминава към ползването на социални услуги за резидентна грижа. През изминалите години най-голям интерес се проява към социалната услуга Дом за стари хора. Няма заявено желание от лица да ползват социални и интегрирани  здравно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социални услуги, но предвид застаряващото население в региона и  естеството на работа в мините / което води до тежки заболявания/ проблемите и нуждите на лица с неравностойно социално положение, стари хора,  лица с увреждания, социални слаби, тежко болни и др. подобни категории и липсата на близки да се грижат за тях е изключително важно да се намери решение на проблема.</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Мадан</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Регистрирани желаещи да ползват функциониращите социални услуги, държавно делегирана дейност на територията на община Мадан да общо 19.</w:t>
      </w: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Мадан,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tbl>
      <w:tblPr/>
      <w:tblGrid>
        <w:gridCol w:w="4541"/>
        <w:gridCol w:w="4509"/>
      </w:tblGrid>
      <w:tr>
        <w:trPr>
          <w:trHeight w:val="1" w:hRule="atLeast"/>
          <w:jc w:val="left"/>
        </w:trPr>
        <w:tc>
          <w:tcPr>
            <w:tcW w:w="4541" w:type="dxa"/>
            <w:tcBorders>
              <w:top w:val="single" w:color="000000" w:sz="8"/>
              <w:left w:val="single" w:color="000000" w:sz="8"/>
              <w:bottom w:val="single" w:color="000000" w:sz="4"/>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09" w:type="dxa"/>
            <w:tcBorders>
              <w:top w:val="single" w:color="000000" w:sz="8"/>
              <w:left w:val="single" w:color="000000" w:sz="0"/>
              <w:bottom w:val="single" w:color="000000" w:sz="4"/>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4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r>
    </w:tbl>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Мадан за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Естественият прираст е резултат от раждаемостта и смъртността на населението. Тъй като смъртността е с по-високи стойности от раждаемостта, то стойностите на естествения прираст са с отрицателен знак. Макар и с не много високи, но с отрицателни стойности е естественият прираст на населението на общината за целия петгодишен период. Така само по линия на естественото движение на населението, средно на година, община Мадан се обезлюдява с около 100д. Друго отражение на отрицателните стойности на естествения прираст е, че поради намаляващата раждаемост, намаляват контингентите от младо население и от там - на възможностите за бъдещо естествено демографско възпроизводство. Намалението на броя на населението на община Мадан се дължи не само на отрицателния естествен прираст на населението, а и на отрицателните стойности на механичния прираст. Показателите, характеризиращи механичното движение са брой заселени и брой изселени лица. Съпоставката между техните стойности формира механичния прираст. За периода 2017-2021 г. броят на заселените в общината лица е 914 д., или по 183 д. средно на година. През отделните години от проучвания период броят на заселените лица варира в много тесни граници. За същия период е регистриран по-висок брой на изселените лица. За анализираните 5 години, те са общо 294 д., или средногодишно по 176 д. трайно напускат общината. Превишението в броя на изселените над броя на заселените лица, формира и отрицателните стойности на механичния прираст. Средногодишният му брой е - 116 д. Подобно на броя на заселените, броят на изселените лица също е в много тесни рамки.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момента на изготвянето на Анализа, няма промяна в длъжностното щатно разписание на персонала предоставящ социални услуги. След декомпозирането по дейностите на чл. 15 и изчисляването на броя на местата за всяка услуга по чл. 15 от ЗСУ, спрямо настоящият брой места към съществуващите към момента социални услуги, се установи, че има нужда от увеличаване на длъжностното щатно разписание на ЦСРИ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Детелина“, които предоставят дейностите информиране и консултиране; застъпничество и посредничество; терапия и рехабилитация; обучение за придобиване на умения и подкрепа за придобиване на трудови умения. В момента на изготвяне на Анализа, длъжностното щатно разписание  на ЦСРИ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Детелина“ е от 10 души. Планира се увеличаване на длъжностното щатно разписание с 4 щатни бройки, които са социален работник, логопед; трудотерапевт и психолог.</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услугите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Резидентна грижа за пълнолетни лица с психични разстройства“ длъжностното щатно разписание е от 15,5 щатни бройки е за основни специалисти, осъществяващи дейности по предоставяне на социални услуги, като не са включени щатни разписания за служители, подпомагащи функционирането на социалната услуга.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Същото се отнася и за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Резидентна грижа за пълнолетни лица с физически увреждания“, като щатното разписание от 15 щатни бройки е за основни специалисти, осъществяващи дейности по предоставяне на социални услуги, като не са включени щатни разписания за служители, подпомагащи функционирането на социалната услуга.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 останалите социални услуги поне на този етап не се планира увеличаване на длъжностното щатно разписание. </w:t>
      </w:r>
    </w:p>
    <w:p>
      <w:pPr>
        <w:keepNext w:val="true"/>
        <w:tabs>
          <w:tab w:val="left" w:pos="862" w:leader="none"/>
        </w:tabs>
        <w:spacing w:before="240" w:after="6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НЕДЕЛИНО</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Използваните методи за събиране на информация включват анализи, доклади, стратегически документи на национално, областно и местно ниво и от РДСП (като стратегии, дългосрочни програми и планове за развитие); статистически бази-данни, редовно събирани и актуализирани от - институциите на общинско ниво - като РДСП, РИО на МОН, РЦЗ, РЗОК, ДБТ, от общинска администрация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ГРАО и отделите, отговорни за социални, образователни и хуманитарни дейности и др., от ДСП и отделите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Социална закрила” в общините. Използвани са и данни, документация и експертиза на доставчиците на услуги за действащите социални услуги в общините, както и  училища, лични лекари и пр., които разполагат с информация за състоянието на свързаните сектори със социалните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Неделино, към 31.12.2021 г. е 5079 жители, от тях 567 деца до 18-годишна възраст, броят на пълнолетните лица е 4512. Общият брой на лицата с трайни увреждания е 1503, от тях деца 10.</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Неделино функционират 4 социални услуги, делегирани от държавата дейност с общ брой потребители 93 души. </w:t>
      </w:r>
    </w:p>
    <w:tbl>
      <w:tblPr/>
      <w:tblGrid>
        <w:gridCol w:w="2293"/>
        <w:gridCol w:w="1379"/>
        <w:gridCol w:w="2414"/>
        <w:gridCol w:w="1883"/>
        <w:gridCol w:w="1091"/>
      </w:tblGrid>
      <w:tr>
        <w:trPr>
          <w:trHeight w:val="1" w:hRule="atLeast"/>
          <w:jc w:val="left"/>
        </w:trPr>
        <w:tc>
          <w:tcPr>
            <w:tcW w:w="229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z w:val="22"/>
                <w:shd w:fill="auto" w:val="clear"/>
              </w:rPr>
            </w:pPr>
          </w:p>
        </w:tc>
        <w:tc>
          <w:tcPr>
            <w:tcW w:w="137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241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ЦНСТПЛФУ</w:t>
            </w:r>
          </w:p>
        </w:tc>
        <w:tc>
          <w:tcPr>
            <w:tcW w:w="188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ЦСРИПЛ</w:t>
            </w:r>
          </w:p>
        </w:tc>
        <w:tc>
          <w:tcPr>
            <w:tcW w:w="10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229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СУ</w:t>
            </w:r>
          </w:p>
        </w:tc>
        <w:tc>
          <w:tcPr>
            <w:tcW w:w="137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41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88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0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29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потребители</w:t>
            </w:r>
          </w:p>
        </w:tc>
        <w:tc>
          <w:tcPr>
            <w:tcW w:w="137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c>
          <w:tcPr>
            <w:tcW w:w="241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188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0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ab/>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Неделино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услуги:</w:t>
      </w: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ЦНСТПЛФУ</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Неделино,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Във функциониращите социални услуги на територията на община Неделино , има общо 13 потребители от други общини.</w:t>
      </w:r>
    </w:p>
    <w:tbl>
      <w:tblPr/>
      <w:tblGrid>
        <w:gridCol w:w="4623"/>
        <w:gridCol w:w="4427"/>
      </w:tblGrid>
      <w:tr>
        <w:trPr>
          <w:trHeight w:val="1" w:hRule="atLeast"/>
          <w:jc w:val="left"/>
        </w:trPr>
        <w:tc>
          <w:tcPr>
            <w:tcW w:w="4623" w:type="dxa"/>
            <w:tcBorders>
              <w:top w:val="single" w:color="000000" w:sz="8"/>
              <w:left w:val="single" w:color="000000" w:sz="8"/>
              <w:bottom w:val="single" w:color="000000" w:sz="4"/>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427" w:type="dxa"/>
            <w:tcBorders>
              <w:top w:val="single" w:color="000000" w:sz="8"/>
              <w:left w:val="single" w:color="000000" w:sz="0"/>
              <w:bottom w:val="single" w:color="000000" w:sz="4"/>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6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ЦНСТПЛФУ</w:t>
            </w:r>
          </w:p>
        </w:tc>
        <w:tc>
          <w:tcPr>
            <w:tcW w:w="44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Неделино за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Броят и структурите на населението се определят от размерите и интензивността на неговото естествено и механично (миграционно) движение. Възпроизводството на населението на дадена територия се изразява в постоянното му възобновяване или чрез смяната на едни поколения с други. Количествената му страна обхваща естественото движение на населението. От своя страна, то се характеризира с раждаемостта и смъртността. До голяма степен раждаемостта зависи от броя на сключените бракове и броя на разводите. През 2019 г. естественият прираст в община Неделино е отрицателен. В резултат на отрицателния естествен прираст населението на района е силно намаляло. Демографския фактор силно влияе върху процесите на организация и модернизиране. В резултат на установилите се през последните години неблагоприятни тенденции в развитието на демографските процеси, броят на населението в община Неделино продължава да намалява. Рязко намалява населението в селата в трудоспособна възраст и се увеличава броя на селските жители на възраст над трудоспособната. При разглеждане на последните пет години се очертава трайна тенденция на намаляване на броя на населението.</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Отдалечеността на населените места от общинския център са проблем при осъществяването и предоставянето на социални услуги. Основна причина за намалението на населението е ниската раждаемост. Факторите, които влияят върху намалението на населението са влошеното икономическо състояние на общината и застаряващото население.</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Механичният прираст в Община Неделино е положителен. През 2019г. стойността е 4, която се формира от 180 заселени и 176 изселени души.</w:t>
      </w:r>
    </w:p>
    <w:p>
      <w:pPr>
        <w:spacing w:before="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r>
        <w:rPr>
          <w:rFonts w:ascii="Times New Roman" w:hAnsi="Times New Roman" w:cs="Times New Roman" w:eastAsia="Times New Roman"/>
          <w:b/>
          <w:color w:val="auto"/>
          <w:spacing w:val="0"/>
          <w:position w:val="0"/>
          <w:sz w:val="24"/>
          <w:shd w:fill="auto" w:val="clear"/>
        </w:rPr>
        <w:t xml:space="preserve">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момента на извършването на анализа по данни на предоставените щатни разписания във всяка едно от социалните услуги на територията на община Неделино, няма незаети щатни бройки.</w:t>
      </w:r>
    </w:p>
    <w:p>
      <w:pPr>
        <w:keepNext w:val="true"/>
        <w:tabs>
          <w:tab w:val="left" w:pos="862" w:leader="none"/>
        </w:tabs>
        <w:spacing w:before="240" w:after="6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РУДОЗЕМ</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Използвани са предоставени данни, различни документи и отчети, икономически анализи и доклади, информация от предходни изследвания, оперативна информация от общината, както и данни, които се събират и съхраняват от други организации като ДСП и ДБТ, ГРАО, и други държавни институции.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Рудозем, към 31.12.2021 г. е 9975 жители, от тях 1443 деца до 18-годишна възраст, броят на пълнолетните лица е 8532. Общият брой на лицата с трайни увреждания е 738, от тях деца 28.</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10487"/>
        </w:numPr>
        <w:tabs>
          <w:tab w:val="left" w:pos="3981" w:leader="none"/>
        </w:tabs>
        <w:spacing w:before="0" w:after="12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АНАЛИЗ НА ПОТРЕБНОСТИТЕ В ОБЛАСТ ВИДИН (обобщено)</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Рдозем са разкрити 3 социални услуги, делегирани от държавата дейности. </w:t>
      </w:r>
    </w:p>
    <w:tbl>
      <w:tblPr/>
      <w:tblGrid>
        <w:gridCol w:w="3175"/>
        <w:gridCol w:w="1553"/>
        <w:gridCol w:w="2272"/>
        <w:gridCol w:w="2060"/>
      </w:tblGrid>
      <w:tr>
        <w:trPr>
          <w:trHeight w:val="1" w:hRule="atLeast"/>
          <w:jc w:val="left"/>
        </w:trPr>
        <w:tc>
          <w:tcPr>
            <w:tcW w:w="317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z w:val="22"/>
                <w:shd w:fill="auto" w:val="clear"/>
              </w:rPr>
            </w:pPr>
          </w:p>
        </w:tc>
        <w:tc>
          <w:tcPr>
            <w:tcW w:w="155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227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20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317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СУ</w:t>
            </w:r>
          </w:p>
        </w:tc>
        <w:tc>
          <w:tcPr>
            <w:tcW w:w="155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27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0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17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потребители</w:t>
            </w:r>
          </w:p>
        </w:tc>
        <w:tc>
          <w:tcPr>
            <w:tcW w:w="155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227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20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50</w:t>
            </w:r>
          </w:p>
        </w:tc>
      </w:tr>
    </w:tbl>
    <w:p>
      <w:pPr>
        <w:spacing w:before="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Рудозем</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Потребителите изявили желание да ползват социалните услуги в ДЦДМУ за 2022 година са 40 потребителя (37 деца и 3 младежи).  </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Рудозем,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Вид социална услуга: информиране и консултиране,  терапия и рехабилитация и дневна грижа, брой потребители от други общини: 1 бр. потребител от община Смолян.</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Вид социалната услуга: информиране и консултиране,  застъпничество и посредничество, терапия и рехабилитация, обучение за придобиване на умения и дневна грижа , брой потребители от други общини: 3 потребителя от община Мадан</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Рудозем за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През последните години са отчетени неблагоприятни характеристики на демографските процеси - наблюдават се тенденции за намаляване числеността на населението. Този процес може да бъде обяснен с намалената раждаемост, увеличена смъртност и миграционните процеси. Всички изброени дотук фактори са причина за спада в естествения прираст на населението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 рамките на анализирания период той е отрицателен. Освен върху общия брой на населението, стойностите на показателите за естествения прираст оказват влияние и върху възрастовата структура на населението, на стойностите на работната сила. Състоянието на раждаемостта е един от индикаторите за възможностите за увеличаване дела на младото население. Статистическите данни за анализирания период показват, че в община Рудозем броят на родените бележи леко изразена тенденция на намаление през 2021г. Анализът на статистическите данни показва, че за целия анализиран период в община Поморие броят на умрелите лица надвишава броя на родените, с изключение на 2019г., когато е отчетен положителен естествен прираст. Основната причина за по-високия брой на случаите на умирания се крие във влошената възрастова структура на населението (застаряваща), значимите заболявания на населението и др., което в комбинация със средната продължителност на живот води до по-висока смъртност, а в последните две години отрицателните стойност скачат значително спрямо предходния период.  Миграцията също е един от процесите, който обуславя намаляването числеността на населението.</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града темпът на намаляване на населението е по- голям в сравнение със селата. Този факт може да бъде обяснен с механичното движение на населението, включващо изселването и заселването, свързани с промяна на местоживеенето. От данните на НСИ, поместени в таблицата по-горе е видна, че тенденцията отново е към намаляване броя на населението. За последните 5 години на територията на общината са се заселили 687 души, докато броят на изселените е 1037, което е почти два пъти повече.</w:t>
      </w:r>
    </w:p>
    <w:p>
      <w:pPr>
        <w:spacing w:before="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r>
        <w:rPr>
          <w:rFonts w:ascii="Times New Roman" w:hAnsi="Times New Roman" w:cs="Times New Roman" w:eastAsia="Times New Roman"/>
          <w:b/>
          <w:color w:val="auto"/>
          <w:spacing w:val="0"/>
          <w:position w:val="0"/>
          <w:sz w:val="24"/>
          <w:shd w:fill="auto" w:val="clear"/>
        </w:rPr>
        <w:t xml:space="preserve">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момента на анализиране на данните, няма посочени незаети щатни бройки към функциониращите на територията на община Рудозем социални услуги, делегирани от държавата дейности. Ръководството на Общинска Администрация е осигурило нужните супервизии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индивидуални и групови, които осигуряват професионалното и кариерно развитие на служителите работещи в услугата. Тези супервизии дават яснота върху проблемните аспекти в процеса на работа.</w:t>
      </w:r>
    </w:p>
    <w:p>
      <w:pPr>
        <w:keepNext w:val="true"/>
        <w:tabs>
          <w:tab w:val="left" w:pos="862" w:leader="none"/>
        </w:tabs>
        <w:spacing w:before="240" w:after="6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СМОЛЯН</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 целите на анализът на потребностите от социални услуги в община Смолян са използвани следните източници на официална информация: Статистически данни на НСИ, предоставени ни от Териториално статистическо бюро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Смолян, Регионална здравна инспекция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Смолян,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 Смолян,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Смолян, Регионално управление на образованието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Смолян и ръководители на социални услуги, функциониращи на територията на община Смолян.</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Използвани са данни от ГРАО към община Смолян и План за интегрирано развитие на община Смолян 2021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2027.</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 да се извърши по-точна преценка на ситуацията в общината и потребностите на хората, получената информация се разглежда не само поотделно, но и в сравнение. Целта е да се проследят тенденциите и да се очертае по-прецизен профил на рисковите групи и необходимостта от 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Смолян, към 31.12.2021 г. е 34 465 жители, от тях 5002 деца до 18-годишна възраст, броят на пълнолетните лица е 29 463. Общия брой на лицата с трайни увреждания е 4640, от тях деца 1690.</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Смолян се предоставят общо 8 социални услуги, делегирани от държавата дейност с общ брой потребители 353. </w:t>
        <w:tab/>
      </w:r>
    </w:p>
    <w:tbl>
      <w:tblPr/>
      <w:tblGrid>
        <w:gridCol w:w="1692"/>
        <w:gridCol w:w="776"/>
        <w:gridCol w:w="1183"/>
        <w:gridCol w:w="1210"/>
        <w:gridCol w:w="1517"/>
        <w:gridCol w:w="828"/>
        <w:gridCol w:w="1033"/>
        <w:gridCol w:w="821"/>
      </w:tblGrid>
      <w:tr>
        <w:trPr>
          <w:trHeight w:val="1" w:hRule="atLeast"/>
          <w:jc w:val="left"/>
        </w:trPr>
        <w:tc>
          <w:tcPr>
            <w:tcW w:w="169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7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118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ДЦПЛУ</w:t>
            </w:r>
          </w:p>
        </w:tc>
        <w:tc>
          <w:tcPr>
            <w:tcW w:w="121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15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w:t>
            </w:r>
          </w:p>
        </w:tc>
        <w:tc>
          <w:tcPr>
            <w:tcW w:w="82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103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ЦРДУ</w:t>
            </w:r>
          </w:p>
        </w:tc>
        <w:tc>
          <w:tcPr>
            <w:tcW w:w="8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r>
      <w:tr>
        <w:trPr>
          <w:trHeight w:val="1" w:hRule="atLeast"/>
          <w:jc w:val="left"/>
        </w:trPr>
        <w:tc>
          <w:tcPr>
            <w:tcW w:w="169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СУ</w:t>
            </w:r>
          </w:p>
        </w:tc>
        <w:tc>
          <w:tcPr>
            <w:tcW w:w="7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18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1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82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03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69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потребители</w:t>
            </w:r>
          </w:p>
        </w:tc>
        <w:tc>
          <w:tcPr>
            <w:tcW w:w="7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90</w:t>
            </w:r>
          </w:p>
        </w:tc>
        <w:tc>
          <w:tcPr>
            <w:tcW w:w="118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c>
          <w:tcPr>
            <w:tcW w:w="121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c>
          <w:tcPr>
            <w:tcW w:w="15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26</w:t>
            </w:r>
          </w:p>
        </w:tc>
        <w:tc>
          <w:tcPr>
            <w:tcW w:w="82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c>
          <w:tcPr>
            <w:tcW w:w="103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8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129</w:t>
            </w:r>
          </w:p>
        </w:tc>
      </w:tr>
    </w:tbl>
    <w:p>
      <w:pPr>
        <w:spacing w:before="0" w:after="6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Смолян</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получено писмо с вх.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ЕО-СМ-087/18.01.2023 г. от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е посочено, че към настоящия момент няма чакащи потребители за ползване на следните услуги: Дом за стари хора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 Фатово;</w:t>
        <w:tab/>
        <w:t xml:space="preserve">Център за работа с деца на улицата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 Широка Лъка; Дневен център за пълнолетни лица с увреждания; Дневен център за деца и младежи с увреждания;</w:t>
        <w:tab/>
        <w:t xml:space="preserve">Център за обществена подкрепа;</w:t>
        <w:tab/>
        <w:t xml:space="preserve">Център за настаняване от семеен тип за деца без увреждания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кв. Устово и Център за настаняване от семеен тип за деца без увреждания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кв. Каптажа. По услуги:</w:t>
      </w: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3</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45</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Смолян, различна от  общината по настоящ адрес</w:t>
      </w:r>
    </w:p>
    <w:tbl>
      <w:tblPr/>
      <w:tblGrid>
        <w:gridCol w:w="4541"/>
        <w:gridCol w:w="4509"/>
      </w:tblGrid>
      <w:tr>
        <w:trPr>
          <w:trHeight w:val="1" w:hRule="atLeast"/>
          <w:jc w:val="left"/>
        </w:trPr>
        <w:tc>
          <w:tcPr>
            <w:tcW w:w="4541"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Вид СУ</w:t>
            </w:r>
          </w:p>
        </w:tc>
        <w:tc>
          <w:tcPr>
            <w:tcW w:w="4509" w:type="dxa"/>
            <w:tcBorders>
              <w:top w:val="single" w:color="000000" w:sz="8"/>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 от други общини</w:t>
            </w:r>
          </w:p>
        </w:tc>
      </w:tr>
      <w:tr>
        <w:trPr>
          <w:trHeight w:val="1" w:hRule="atLeast"/>
          <w:jc w:val="left"/>
        </w:trPr>
        <w:tc>
          <w:tcPr>
            <w:tcW w:w="4541"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4509" w:type="dxa"/>
            <w:tcBorders>
              <w:top w:val="single" w:color="000000" w:sz="8"/>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34</w:t>
            </w:r>
          </w:p>
        </w:tc>
      </w:tr>
      <w:tr>
        <w:trPr>
          <w:trHeight w:val="1" w:hRule="atLeast"/>
          <w:jc w:val="left"/>
        </w:trPr>
        <w:tc>
          <w:tcPr>
            <w:tcW w:w="4541"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 1</w:t>
            </w:r>
          </w:p>
        </w:tc>
        <w:tc>
          <w:tcPr>
            <w:tcW w:w="4509" w:type="dxa"/>
            <w:tcBorders>
              <w:top w:val="single" w:color="000000" w:sz="8"/>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r>
        <w:trPr>
          <w:trHeight w:val="1" w:hRule="atLeast"/>
          <w:jc w:val="left"/>
        </w:trPr>
        <w:tc>
          <w:tcPr>
            <w:tcW w:w="4541"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ЦНСТДБУ 2</w:t>
            </w:r>
          </w:p>
        </w:tc>
        <w:tc>
          <w:tcPr>
            <w:tcW w:w="4509" w:type="dxa"/>
            <w:tcBorders>
              <w:top w:val="single" w:color="000000" w:sz="8"/>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1" w:hRule="atLeast"/>
          <w:jc w:val="left"/>
        </w:trPr>
        <w:tc>
          <w:tcPr>
            <w:tcW w:w="4541"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ЦОП</w:t>
            </w:r>
          </w:p>
        </w:tc>
        <w:tc>
          <w:tcPr>
            <w:tcW w:w="4509" w:type="dxa"/>
            <w:tcBorders>
              <w:top w:val="single" w:color="000000" w:sz="8"/>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r>
      <w:tr>
        <w:trPr>
          <w:trHeight w:val="1" w:hRule="atLeast"/>
          <w:jc w:val="left"/>
        </w:trPr>
        <w:tc>
          <w:tcPr>
            <w:tcW w:w="4541"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ЦРДУ</w:t>
            </w:r>
          </w:p>
        </w:tc>
        <w:tc>
          <w:tcPr>
            <w:tcW w:w="4509" w:type="dxa"/>
            <w:tcBorders>
              <w:top w:val="single" w:color="000000" w:sz="8"/>
              <w:left w:val="single" w:color="000000" w:sz="0"/>
              <w:bottom w:val="single" w:color="000000" w:sz="8"/>
              <w:right w:val="single" w:color="000000" w:sz="8"/>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Смолян за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направеното проучване на територията на община Смолян се вижда, че естественият прираст е с постоянни отрицателни стойности през изследвания период. След 2020 г., се наблюдава значително нарастване на смъртността, което вероятно е в голяма степен повлияно от здравната криза с COVID-19.</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 последните пет години негативна тенденция се наблюдава по показател раждаемост, като от 285 раждания през 2017 г. намалява с 64 броя и достига до 221. Показателят смъртност пък се увеличава със 128 човека за периода 2017-2021, което е логично с оглед наблюдаващото се застаряване на населението.</w:t>
      </w:r>
    </w:p>
    <w:p>
      <w:pPr>
        <w:spacing w:before="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r>
        <w:rPr>
          <w:rFonts w:ascii="Times New Roman" w:hAnsi="Times New Roman" w:cs="Times New Roman" w:eastAsia="Times New Roman"/>
          <w:b/>
          <w:color w:val="auto"/>
          <w:spacing w:val="0"/>
          <w:position w:val="0"/>
          <w:sz w:val="24"/>
          <w:shd w:fill="auto" w:val="clear"/>
        </w:rPr>
        <w:t xml:space="preserve">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настоящия момент на територията на община Смолян във функциониращите  социални услуги числеността на персонала е съобразена с Наредбата за качество на социалните услуги, осигурена е възможност за професионално и кариерно развитие на служителите.</w:t>
      </w:r>
    </w:p>
    <w:p>
      <w:pPr>
        <w:keepNext w:val="true"/>
        <w:tabs>
          <w:tab w:val="left" w:pos="862" w:leader="none"/>
        </w:tabs>
        <w:spacing w:before="240" w:after="6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ЧЕПЕЛАРЕ</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са използвани актуални данни от общинската администрация, събирани и предоставени от експертите на ГРАО, експертите от отдел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Образование и хуманитарни дейности“, ДСП, РЗИ, РУО, ДБТ, НОИ НСИ и други.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Чепеларе, към 31.12.2021 г. е 6249 жители, от тях 784 деца до 18-годишна възраст, броят на пълнолетните лица е 5465. Общия брой на лицата с трайни увреждания е 918, от тях деца 310.</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Чепеларе са разкрити 3 социални услуги с общ  капацитет 40 потребители. </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Чепеларе</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лица вписани в регистрите на  чакащи за включване в предоставяните на територията на община Чепеларе услуги.</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Чепеларе,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Лицата от други общини, които ползват социални услуги в община Чепеларе са 9 и всички са потребители в социалната услуга ЦНСТДБУ.</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Чепеларе за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момента община Чепеларе наброява 6249 жители. </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През последните години се наблюдава тенденция към намаляване броя на жителите на територията на общината. 69% от населението живее в административния център, останалите 31% в селата. Поради липса на работа все по- млади хора се изселват от селата  и се заселват в големите градове, въпреки, че не си сменят  постоянния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Раждаемостта  бележи тенденция съвсем слабо към покачване в сравнение с 2017 година, касаеща предимно гр. Чепеларе, докато в селата отбелязва спад. Смъртността сред населението се покачва.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Гъстотата на населението е основен показател, който отразява демографската ситуация. Наблюдава се тенденция за  намаляване на жителите на всички териториални нива и се отчита спад на показателя за гъстота на населението, както на областно ниво, така и за община Чепеларе. Към 31.12.2019 г. средната гъстота на населението на община Чепеларе е 17,2 д. на кв. м., като за период от 9 години се констатира трайна тенденция за спад при този показател.</w:t>
      </w:r>
    </w:p>
    <w:p>
      <w:pPr>
        <w:spacing w:before="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r>
        <w:rPr>
          <w:rFonts w:ascii="Times New Roman" w:hAnsi="Times New Roman" w:cs="Times New Roman" w:eastAsia="Times New Roman"/>
          <w:b/>
          <w:color w:val="auto"/>
          <w:spacing w:val="0"/>
          <w:position w:val="0"/>
          <w:sz w:val="24"/>
          <w:shd w:fill="auto" w:val="clear"/>
        </w:rPr>
        <w:t xml:space="preserve">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момента в община Чепеларе са назначени следните щатни бройки:</w:t>
      </w:r>
    </w:p>
    <w:p>
      <w:pPr>
        <w:numPr>
          <w:ilvl w:val="0"/>
          <w:numId w:val="10536"/>
        </w:numPr>
        <w:spacing w:before="0" w:after="12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ЦНСТДБУ-с. Павелско 8 щатни бройки /7 назначени лица/</w:t>
      </w:r>
    </w:p>
    <w:p>
      <w:pPr>
        <w:numPr>
          <w:ilvl w:val="0"/>
          <w:numId w:val="10536"/>
        </w:numPr>
        <w:spacing w:before="0" w:after="12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ДЦСХ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 Хвойна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щатна бройка /няма назначено лице/</w:t>
      </w:r>
    </w:p>
    <w:p>
      <w:pPr>
        <w:numPr>
          <w:ilvl w:val="0"/>
          <w:numId w:val="10536"/>
        </w:numPr>
        <w:spacing w:before="0" w:after="12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Асистентска подкрепа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10 </w:t>
      </w:r>
      <w:r>
        <w:rPr>
          <w:rFonts w:ascii="Times New Roman" w:hAnsi="Times New Roman" w:cs="Times New Roman" w:eastAsia="Times New Roman"/>
          <w:color w:val="auto"/>
          <w:spacing w:val="0"/>
          <w:position w:val="0"/>
          <w:sz w:val="24"/>
          <w:shd w:fill="auto" w:val="clear"/>
        </w:rPr>
        <w:t xml:space="preserve">щатни бройки</w:t>
      </w:r>
    </w:p>
    <w:p>
      <w:pPr>
        <w:keepNext w:val="true"/>
        <w:spacing w:before="360" w:after="120" w:line="240"/>
        <w:ind w:right="0" w:left="576" w:hanging="576"/>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АНАЛИЗ НА ПОТРЕБНОСТИТЕ В ОБЛАСТ СМОЛЯН (обобщено)</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област Смолян, към 31.12.2021 г. е 102 788 жители, от тях 14017 деца до 18-годишна възраст, броят на пълнолетните лица е 88 818. Общият брой на лицата с трайни увреждания е 13 621, от тях деца 234.</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обобщени за област Смолян по общини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общините от област Смолян информацията за населението по критериите съгласно Наредбата за планиране на социалните услуги е получена от информационна система ГРАО на общините, РЗИ, от ДСП и ДБТ, кметове и кметски наместници, социалните услуги, функциониращи на територията на всяка една отделна община в рамките на административната област, училища, лечебни заведения, социални услуги и др.</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Съществуващите социални и интегрирани здравно-социални услуги и брой на техните потребители (общ и по видове услуги и групи потребители) за цялата област по общини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социалните услуги на територията на област Смолян е 36 с 1204 потребители. Броят на социалните услуги за деца е 15 с 370 потребители. Социалните услуги за пълнолетни лица са 21 с 834 потребители.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графиките е видно, че на територията на областта преобладават консултативните услуги (ДЦ, ЦСРИ, ЦОП, ЦРДУ), които са 19 на брой и обслужват общо 513 потребители, както и социалните услуги в домашна среда (АП)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общо 10 на брой и обслужващи 520 потребители. Видно от настоящото сравнение, с най-малък дял на територията на областта са социалните услуги за резидентна грижа (ЦНСТ, ЗЖ, ПЖ, НЖ, КЦ, ЦВН)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едва 6 на брой за  общо 81 потребители. На територията на област Смолян е функционира само една специализираните институции за пълнолетни лица, обект на настоящия анализ, а именно ДСХ обслужващ 90 потребители.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област Смолян</w:t>
      </w:r>
    </w:p>
    <w:tbl>
      <w:tblPr/>
      <w:tblGrid>
        <w:gridCol w:w="4035"/>
        <w:gridCol w:w="5025"/>
      </w:tblGrid>
      <w:tr>
        <w:trPr>
          <w:trHeight w:val="201" w:hRule="auto"/>
          <w:jc w:val="left"/>
        </w:trPr>
        <w:tc>
          <w:tcPr>
            <w:tcW w:w="403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0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94" w:hRule="auto"/>
          <w:jc w:val="left"/>
        </w:trPr>
        <w:tc>
          <w:tcPr>
            <w:tcW w:w="403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0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131</w:t>
            </w:r>
          </w:p>
        </w:tc>
      </w:tr>
      <w:tr>
        <w:trPr>
          <w:trHeight w:val="201" w:hRule="auto"/>
          <w:jc w:val="left"/>
        </w:trPr>
        <w:tc>
          <w:tcPr>
            <w:tcW w:w="403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50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w:t>
            </w:r>
          </w:p>
        </w:tc>
      </w:tr>
      <w:tr>
        <w:trPr>
          <w:trHeight w:val="201" w:hRule="auto"/>
          <w:jc w:val="left"/>
        </w:trPr>
        <w:tc>
          <w:tcPr>
            <w:tcW w:w="403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ЦНСТПЛФУ</w:t>
            </w:r>
          </w:p>
        </w:tc>
        <w:tc>
          <w:tcPr>
            <w:tcW w:w="50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94" w:hRule="auto"/>
          <w:jc w:val="left"/>
        </w:trPr>
        <w:tc>
          <w:tcPr>
            <w:tcW w:w="403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ДЦДМУ</w:t>
            </w:r>
          </w:p>
        </w:tc>
        <w:tc>
          <w:tcPr>
            <w:tcW w:w="50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r>
      <w:tr>
        <w:trPr>
          <w:trHeight w:val="201" w:hRule="auto"/>
          <w:jc w:val="left"/>
        </w:trPr>
        <w:tc>
          <w:tcPr>
            <w:tcW w:w="403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50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94" w:hRule="auto"/>
          <w:jc w:val="left"/>
        </w:trPr>
        <w:tc>
          <w:tcPr>
            <w:tcW w:w="403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Общо</w:t>
            </w:r>
          </w:p>
        </w:tc>
        <w:tc>
          <w:tcPr>
            <w:tcW w:w="50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195</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Лицата, желаещи да ползват и респективно включени в регистрите на чакащите за ползване на социални услуги в териториалния обхват на област Смолян са 195. Голям е и броят на лицата за включване в Асистентска подкрепа, видно от данните, те са 131 лица.</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област Смолян, различна от  общината по настоящ адрес</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и интегрирани здравно-социални услуги на територията на област Смолян, различна от общината по настоящ адрес е 95. Най-голям е техният брой в социалните услуги на територията на общините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Смолян, Неделино и Чепеларе.</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следващата графика е представено сравнение между функциониращите към момента социални услуги, финансирани от държавния бюджет, съотнесени към социалните услуги по чл. 15 от ЗСУ, максималния брой потребители, съгласно критериите по Наредбата за планиране на социалните услуги и поетите ангажименти от общините в областта.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област Смолян за последните 5 години</w:t>
      </w:r>
    </w:p>
    <w:p>
      <w:pPr>
        <w:spacing w:before="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Анализа на данните на демографското развитие в област Смолян за периода 2021 г.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2017 </w:t>
      </w:r>
      <w:r>
        <w:rPr>
          <w:rFonts w:ascii="Times New Roman" w:hAnsi="Times New Roman" w:cs="Times New Roman" w:eastAsia="Times New Roman"/>
          <w:color w:val="auto"/>
          <w:spacing w:val="0"/>
          <w:position w:val="0"/>
          <w:sz w:val="24"/>
          <w:shd w:fill="auto" w:val="clear"/>
        </w:rPr>
        <w:t xml:space="preserve">г. показва тенденция към намаляване броя на населението във всички общини.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Във всички общини, с изключение на общ. Борино и от части на общ. Чепеларе, се отчита тенденция към намаляване на раждаемостта и повишаване на смъртността, което от своя страна обуславя и отрицателния естествен прираст. Отчита се устойчива тенденция към емиграция. Висок е броят на хората с трайни увреждания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общо за област Смолян те наброяват 13 621 лица, като от тях 234 са деца с трайни увреждания.</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По-голяма част от социалните услуги в областта са обезпечени със служители, необходими за предоставянето им. Общините са използвали различни възможности за наемане на необходимите служители за извършване на дейностите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специалисти се търсят както в ДБТ, така и на свободния пазар, като на работа се наемат и пенсионери. На база на предоставената от общините информация за заетостта на служителите в социалните услуги, се очертава тенденция за недостиг основно на медицински специалисти.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Една от предпоставките за ефективност на социалните  услуги е наличието на квалифициран и мотивиран персонал. Развитието и обучението на човешките ресурси в тази област е важна предпоставка за качествени услуги, които да съдействат за повишаване и качеството на живот на отделните индивиди, семейства и групи. </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Смолян</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са ключов фактор за ефективно социално включване и участие в живота на обществото на всички групи лица, които имат необходимост от подкрепа. Във основа на направения анализ на състоянието на социалните услуги на територията на областта и очерталите се тенденции, могат да се направят следните изводи: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има малък брой социални услуги за резидентна грижа за пълнолетни лица, което поражда необходимостта такива да бъдат планирани, за да се задоволят част от идентифицираните потребности на лицата от конкретни целеви групи. На база на разгледаните дотук данни, може да се обобщи, че за територията на област Смолян е изключително необходимо спектърът на социалните услуги да продължи да се разширява, т. е да се създават социални услуги, за които от настоящия анализ е идентифицирана реална необходимост и ще могат да задоволят специфичните потребности на конкретните целеви групи.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Данните сочат, че на този етап на територията на област Смолян най-голяма нужда има от разкриване на резидентна грижа за пълнолетни лица с психични разстройства, резидентна грижа за пълнолетни лица с физически увреждания, резидентна грижа за пълнолетни лица с деменция, резидентна грижа за лица в надтрудоспособна възраст без увреждания, както и осигуряване на подслон за лица в кризисна ситуация, и от интегрирани здравно-социални услуги за резидентна грижа за пълнолетни лица с трайни увреждания и потребност от постоянни медицински грижи.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момента на извършване на анализа, се отчита, че консултативните услуги успяват да покрият потребностите на ползващите ги лица, като е важно в бъдеще да се мониторира броят на желаещите да ползват ДЦДМУ и при значително покачване на желаещите евентуално общината да потърси вариант за обезпечаване на възникналата необходимост;</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Все още, особено от населението в по-млаките общини от областта, не се възприема достатъчно правилно и ясно ролята на социалните услуги,  а именно като дейности, насочени  към социално включване и стимулиране за водене на независим начин на живот;</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няма интегрирани здравно-социални услуги за деца и пълнолетни лица, което следва да бъде една от главните цели на общините от областта при планирането.</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Осигуряването на равен достъп до услуги на всички нуждаещи се чрез планиране на социални услуги, съгласно реалните потребности и нужди и равномерно разпределение на социалните услуги на територията на област Смолян са съществена част от политиките на областната и общинските администрации. </w:t>
      </w:r>
    </w:p>
    <w:p>
      <w:pPr>
        <w:keepNext w:val="true"/>
        <w:numPr>
          <w:ilvl w:val="0"/>
          <w:numId w:val="10560"/>
        </w:numPr>
        <w:tabs>
          <w:tab w:val="left" w:pos="718" w:leader="none"/>
          <w:tab w:val="left" w:pos="576" w:leader="none"/>
        </w:tabs>
        <w:spacing w:before="360" w:after="120" w:line="240"/>
        <w:ind w:right="0" w:left="576" w:hanging="576"/>
        <w:jc w:val="both"/>
        <w:rPr>
          <w:rFonts w:ascii="Times New Roman" w:hAnsi="Times New Roman" w:cs="Times New Roman" w:eastAsia="Times New Roman"/>
          <w:b/>
          <w:color w:val="003366"/>
          <w:spacing w:val="0"/>
          <w:position w:val="0"/>
          <w:sz w:val="28"/>
          <w:shd w:fill="auto" w:val="clear"/>
        </w:rPr>
      </w:pPr>
      <w:r>
        <w:rPr>
          <w:rFonts w:ascii="Times New Roman" w:hAnsi="Times New Roman" w:cs="Times New Roman" w:eastAsia="Times New Roman"/>
          <w:b/>
          <w:color w:val="003366"/>
          <w:spacing w:val="0"/>
          <w:position w:val="0"/>
          <w:sz w:val="28"/>
          <w:shd w:fill="auto" w:val="clear"/>
        </w:rPr>
        <w:t xml:space="preserve">ОБЛАСТ КЪРДЖАЛИ</w:t>
      </w:r>
    </w:p>
    <w:p>
      <w:pPr>
        <w:keepNext w:val="true"/>
        <w:tabs>
          <w:tab w:val="left" w:pos="862" w:leader="none"/>
        </w:tabs>
        <w:spacing w:before="240" w:after="6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АРДИНО</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Ардино информацията за населението по настоящ адрес е получена от информационна система ГРАО, Отдел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Статистически изследвания“ гр. Ардино и от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Ардино, към 31.12.2021 г. е 11 318 жители, от тях 1 087 деца до 18-годишна възраст (9,6 %), броят на пълнолетните лица е 10231  (90,4%). Общия брой на лицата с трайни увреждания е 2064, от тях деца 45 (2,18%).</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Ардино са разкрити 4 социални услуги, които се предоставят в града. Общият капацитет на социалните услуги е 134 потребители, в т.ч. 54 асистентска подкрепа.</w:t>
      </w:r>
    </w:p>
    <w:tbl>
      <w:tblPr/>
      <w:tblGrid>
        <w:gridCol w:w="2523"/>
        <w:gridCol w:w="1764"/>
        <w:gridCol w:w="2624"/>
        <w:gridCol w:w="1234"/>
        <w:gridCol w:w="915"/>
      </w:tblGrid>
      <w:tr>
        <w:trPr>
          <w:trHeight w:val="1" w:hRule="atLeast"/>
          <w:jc w:val="left"/>
        </w:trPr>
        <w:tc>
          <w:tcPr>
            <w:tcW w:w="25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z w:val="22"/>
                <w:shd w:fill="auto" w:val="clear"/>
              </w:rPr>
            </w:pPr>
          </w:p>
        </w:tc>
        <w:tc>
          <w:tcPr>
            <w:tcW w:w="176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ДЦПЛУ</w:t>
            </w:r>
          </w:p>
        </w:tc>
        <w:tc>
          <w:tcPr>
            <w:tcW w:w="262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ЦНСТПЛУИ</w:t>
            </w:r>
          </w:p>
        </w:tc>
        <w:tc>
          <w:tcPr>
            <w:tcW w:w="123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91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left"/>
        </w:trPr>
        <w:tc>
          <w:tcPr>
            <w:tcW w:w="25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76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62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23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1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5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76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262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123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50</w:t>
            </w:r>
          </w:p>
        </w:tc>
        <w:tc>
          <w:tcPr>
            <w:tcW w:w="91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54</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Ардино</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Ардино е 5 лица. По услуги: </w:t>
      </w:r>
    </w:p>
    <w:tbl>
      <w:tblPr/>
      <w:tblGrid>
        <w:gridCol w:w="4037"/>
        <w:gridCol w:w="5023"/>
      </w:tblGrid>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ДПЛД/ЦНСТПЛД</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ДПЛФУ</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ДСХ</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0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ЦНСТПЛПР</w:t>
            </w:r>
          </w:p>
        </w:tc>
        <w:tc>
          <w:tcPr>
            <w:tcW w:w="50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Ардино,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Ардино, от други общини е 45. Жители на община Кюстендил - 12; община Кърджали - 27; Община Черноочене - 2; община Крумовград - 2 ; община Момчилград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Ардино за последните 5 години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Графиката показва, намаление на общия брой на населението с тенденция към застаряване, ниска раждаемост, висока смъртност и отрицателен естествен прираст. Устойчива е тенденцията към емиграция и обезлюдяване на общината.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в община Ардино са обезпечени с кадри необходими за предоставянето им. С малки изключения необходимостта от кадри по щатно разписание е задоволена. Свободни са две работни места за медицинска сестра и едно за възпитател.</w:t>
      </w:r>
    </w:p>
    <w:p>
      <w:pPr>
        <w:keepNext w:val="true"/>
        <w:tabs>
          <w:tab w:val="left" w:pos="862" w:leader="none"/>
        </w:tabs>
        <w:spacing w:before="240" w:after="6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ДЖЕБЕЛ</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Джебел информацията за населението по настоящ адрес е получена от НСИ, ДСП, ДБТ и  ГРАО.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Джебел, към 31.12.2021 г. е 8375 жители, от тях 1079 деца до 18-годишна възраст (12,8%), броят на пълнолетните лица е 7296 (87,12%). Общия брой на лицата с трайни увреждания е 1608, от тях деца 16 (1%).</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Джебел са разкрити 2 социални услуги, Общият капацитет на социалните услуги е за 57 потребители, в т.ч. 37 асистентска подкрепа.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892"/>
        <w:gridCol w:w="2394"/>
        <w:gridCol w:w="1774"/>
      </w:tblGrid>
      <w:tr>
        <w:trPr>
          <w:trHeight w:val="1" w:hRule="atLeast"/>
          <w:jc w:val="left"/>
        </w:trPr>
        <w:tc>
          <w:tcPr>
            <w:tcW w:w="489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z w:val="22"/>
                <w:shd w:fill="auto" w:val="clear"/>
              </w:rPr>
            </w:pPr>
          </w:p>
        </w:tc>
        <w:tc>
          <w:tcPr>
            <w:tcW w:w="239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 </w:t>
            </w:r>
          </w:p>
        </w:tc>
        <w:tc>
          <w:tcPr>
            <w:tcW w:w="177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left"/>
        </w:trPr>
        <w:tc>
          <w:tcPr>
            <w:tcW w:w="489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239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7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89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239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77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37</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Джебел</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Джебел е 5 лица. По услуги: </w:t>
      </w: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Джебел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социалните услуги на територията на община Джебел няма потребители от други общини.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Джебел за последните 5 години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Графиката показва, намаление на общия брой на населението на общината. Високите стойности на смъртността и относително невисоките стойности на раждаемост водят до отрицателен естествен прираст за територията на община Джебел. Показателите за механичния прираст на населението показват запазване на тенденцията за увеличаване на външните миграции, предизвикани от лошата икономическа обстановка и високия процент на безработица.</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Малък е броя на незаетите позиции в социалните услуги на територията на общината. Основно не заети са длъжностите за основни специалисти, осъществяващи дейности по предоставяне на СУ като психолози, логопеди, педагози, рехабилитатори и т.н. Проблем е и наемането на социални работници с висше образование, поради което в част от социалните услуги са наети сътрудници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социална работа, със средно образование. Недостатъчни са специалистите в общината в трудоспособна възраст за предоставяне на медицински грижи в социалните услуги.   </w:t>
      </w:r>
    </w:p>
    <w:p>
      <w:pPr>
        <w:keepNext w:val="true"/>
        <w:tabs>
          <w:tab w:val="left" w:pos="862" w:leader="none"/>
        </w:tabs>
        <w:spacing w:before="240" w:after="6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1.1.3 </w:t>
      </w:r>
      <w:r>
        <w:rPr>
          <w:rFonts w:ascii="Times New Roman" w:hAnsi="Times New Roman" w:cs="Times New Roman" w:eastAsia="Times New Roman"/>
          <w:b/>
          <w:color w:val="auto"/>
          <w:spacing w:val="0"/>
          <w:position w:val="0"/>
          <w:sz w:val="24"/>
          <w:shd w:fill="auto" w:val="clear"/>
        </w:rPr>
        <w:t xml:space="preserve">ОБЩИНА КИРКОВО</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Кирково информацията за населението по настоящ адрес е получена от НСИ и информационна система ГРАО, Общинска администрация, ДСП, ДБТ - Кирково, Детска педагогическа стая и др.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Кирково, към 31.12.2021 г. е 20 442 жители, от тях 2521 деца до 18-годишна възраст (12,3%), броят на пълнолетните лица е 17 921 (87,6%). Общия брой на лицата с трайни увреждания е 3201, от тях деца 47 (1,47%).</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Кирково са разкрити 2 социални услуги, от тях 1 се предоставят в с. Добромирци. Общият капацитет на социалните услуги е 94 потребители, в т.ч. 82 асистентска подкрепа.</w:t>
      </w:r>
    </w:p>
    <w:tbl>
      <w:tblPr/>
      <w:tblGrid>
        <w:gridCol w:w="4360"/>
        <w:gridCol w:w="3118"/>
        <w:gridCol w:w="1582"/>
      </w:tblGrid>
      <w:tr>
        <w:trPr>
          <w:trHeight w:val="1" w:hRule="atLeast"/>
          <w:jc w:val="left"/>
        </w:trPr>
        <w:tc>
          <w:tcPr>
            <w:tcW w:w="43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z w:val="22"/>
                <w:shd w:fill="auto" w:val="clear"/>
              </w:rPr>
            </w:pPr>
          </w:p>
        </w:tc>
        <w:tc>
          <w:tcPr>
            <w:tcW w:w="311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ДЦДМУ</w:t>
            </w:r>
          </w:p>
        </w:tc>
        <w:tc>
          <w:tcPr>
            <w:tcW w:w="158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left"/>
        </w:trPr>
        <w:tc>
          <w:tcPr>
            <w:tcW w:w="43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311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8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3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311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c>
          <w:tcPr>
            <w:tcW w:w="158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82</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Кирково</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w:t>
      </w:r>
      <w:r>
        <w:rPr>
          <w:rFonts w:ascii="Times New Roman" w:hAnsi="Times New Roman" w:cs="Times New Roman" w:eastAsia="Times New Roman"/>
          <w:i/>
          <w:color w:val="auto"/>
          <w:spacing w:val="0"/>
          <w:position w:val="0"/>
          <w:sz w:val="24"/>
          <w:shd w:fill="auto" w:val="clear"/>
        </w:rPr>
        <w:t xml:space="preserve">Кирково</w:t>
      </w:r>
      <w:r>
        <w:rPr>
          <w:rFonts w:ascii="Times New Roman" w:hAnsi="Times New Roman" w:cs="Times New Roman" w:eastAsia="Times New Roman"/>
          <w:color w:val="auto"/>
          <w:spacing w:val="0"/>
          <w:position w:val="0"/>
          <w:sz w:val="24"/>
          <w:shd w:fill="auto" w:val="clear"/>
        </w:rPr>
        <w:t xml:space="preserve"> е </w:t>
      </w:r>
      <w:r>
        <w:rPr>
          <w:rFonts w:ascii="Times New Roman" w:hAnsi="Times New Roman" w:cs="Times New Roman" w:eastAsia="Times New Roman"/>
          <w:b/>
          <w:i/>
          <w:color w:val="auto"/>
          <w:spacing w:val="0"/>
          <w:position w:val="0"/>
          <w:sz w:val="24"/>
          <w:shd w:fill="auto" w:val="clear"/>
        </w:rPr>
        <w:t xml:space="preserve">34</w:t>
      </w:r>
      <w:r>
        <w:rPr>
          <w:rFonts w:ascii="Times New Roman" w:hAnsi="Times New Roman" w:cs="Times New Roman" w:eastAsia="Times New Roman"/>
          <w:color w:val="auto"/>
          <w:spacing w:val="0"/>
          <w:position w:val="0"/>
          <w:sz w:val="24"/>
          <w:shd w:fill="auto" w:val="clear"/>
        </w:rPr>
        <w:t xml:space="preserve"> лица. Интересът към услугата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Асистентска подкрепа“ е голям. Много от лицата желаещи  да ползват услугата са лица с трайни увреждания с </w:t>
      </w:r>
      <w:r>
        <w:rPr>
          <w:rFonts w:ascii="Times New Roman" w:hAnsi="Times New Roman" w:cs="Times New Roman" w:eastAsia="Times New Roman"/>
          <w:color w:val="000000"/>
          <w:spacing w:val="0"/>
          <w:position w:val="0"/>
          <w:sz w:val="24"/>
          <w:shd w:fill="auto" w:val="clear"/>
        </w:rPr>
        <w:t xml:space="preserve">установени вид и степен на увреждане</w:t>
      </w:r>
      <w:r>
        <w:rPr>
          <w:rFonts w:ascii="Times New Roman" w:hAnsi="Times New Roman" w:cs="Times New Roman" w:eastAsia="Times New Roman"/>
          <w:color w:val="auto"/>
          <w:spacing w:val="0"/>
          <w:position w:val="0"/>
          <w:sz w:val="24"/>
          <w:shd w:fill="auto" w:val="clear"/>
        </w:rPr>
        <w:t xml:space="preserve">, но без чужда помощ и не попадат в обхвата на целевата група на услугата. По услуги:</w:t>
      </w: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34</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Кирково,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Кирково, няма потребители от други общини ползващи социални услуги и интегрирани здравно-социални услуги.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Кирково за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000000"/>
          <w:spacing w:val="-6"/>
          <w:position w:val="0"/>
          <w:sz w:val="24"/>
          <w:shd w:fill="FFFFFF" w:val="clear"/>
        </w:rPr>
        <w:t xml:space="preserve">Проследявайки населението на община Кирково</w:t>
      </w:r>
      <w:r>
        <w:rPr>
          <w:rFonts w:ascii="Times New Roman" w:hAnsi="Times New Roman" w:cs="Times New Roman" w:eastAsia="Times New Roman"/>
          <w:color w:val="auto"/>
          <w:spacing w:val="0"/>
          <w:position w:val="0"/>
          <w:sz w:val="24"/>
          <w:shd w:fill="FFFFFF" w:val="clear"/>
        </w:rPr>
        <w:t xml:space="preserve">  през периода от 2017 до 2021 г. включително се наблюдава увеличаване на населението, което е с местоживеене в общината. </w:t>
      </w:r>
    </w:p>
    <w:tbl>
      <w:tblPr/>
      <w:tblGrid>
        <w:gridCol w:w="2180"/>
        <w:gridCol w:w="1342"/>
        <w:gridCol w:w="1510"/>
        <w:gridCol w:w="1342"/>
        <w:gridCol w:w="1342"/>
        <w:gridCol w:w="1338"/>
      </w:tblGrid>
      <w:tr>
        <w:trPr>
          <w:trHeight w:val="340" w:hRule="auto"/>
          <w:jc w:val="center"/>
        </w:trPr>
        <w:tc>
          <w:tcPr>
            <w:tcW w:w="2180" w:type="dxa"/>
            <w:tcBorders>
              <w:top w:val="single" w:color="000000" w:sz="6"/>
              <w:left w:val="single" w:color="000000" w:sz="6"/>
              <w:bottom w:val="single" w:color="000000" w:sz="6"/>
              <w:right w:val="single" w:color="000000" w:sz="6"/>
            </w:tcBorders>
            <w:shd w:color="auto" w:fill="bfbfbf" w:val="clear"/>
            <w:tcMar>
              <w:left w:w="40" w:type="dxa"/>
              <w:right w:w="40" w:type="dxa"/>
            </w:tcMar>
            <w:vAlign w:val="top"/>
          </w:tcPr>
          <w:p>
            <w:pPr>
              <w:spacing w:before="0" w:after="120" w:line="240"/>
              <w:ind w:right="0" w:left="0" w:firstLine="0"/>
              <w:jc w:val="center"/>
              <w:rPr>
                <w:position w:val="0"/>
                <w:shd w:fill="auto" w:val="clear"/>
              </w:rPr>
            </w:pPr>
            <w:r>
              <w:rPr>
                <w:rFonts w:ascii="Times New Roman" w:hAnsi="Times New Roman" w:cs="Times New Roman" w:eastAsia="Times New Roman"/>
                <w:b/>
                <w:color w:val="000000"/>
                <w:spacing w:val="-8"/>
                <w:position w:val="0"/>
                <w:sz w:val="24"/>
                <w:shd w:fill="auto" w:val="clear"/>
              </w:rPr>
              <w:t xml:space="preserve">Община</w:t>
            </w:r>
          </w:p>
        </w:tc>
        <w:tc>
          <w:tcPr>
            <w:tcW w:w="1342" w:type="dxa"/>
            <w:tcBorders>
              <w:top w:val="single" w:color="000000" w:sz="6"/>
              <w:left w:val="single" w:color="000000" w:sz="6"/>
              <w:bottom w:val="single" w:color="000000" w:sz="6"/>
              <w:right w:val="single" w:color="000000" w:sz="6"/>
            </w:tcBorders>
            <w:shd w:color="auto" w:fill="bfbfbf" w:val="clear"/>
            <w:tcMar>
              <w:left w:w="40" w:type="dxa"/>
              <w:right w:w="40" w:type="dxa"/>
            </w:tcMar>
            <w:vAlign w:val="top"/>
          </w:tcPr>
          <w:p>
            <w:pPr>
              <w:spacing w:before="0" w:after="120" w:line="240"/>
              <w:ind w:right="0" w:left="0" w:firstLine="0"/>
              <w:jc w:val="center"/>
              <w:rPr>
                <w:position w:val="0"/>
                <w:shd w:fill="auto" w:val="clear"/>
              </w:rPr>
            </w:pPr>
            <w:r>
              <w:rPr>
                <w:rFonts w:ascii="Times New Roman" w:hAnsi="Times New Roman" w:cs="Times New Roman" w:eastAsia="Times New Roman"/>
                <w:b/>
                <w:color w:val="000000"/>
                <w:spacing w:val="-8"/>
                <w:position w:val="0"/>
                <w:sz w:val="24"/>
                <w:shd w:fill="auto" w:val="clear"/>
              </w:rPr>
              <w:t xml:space="preserve">2021 </w:t>
            </w:r>
            <w:r>
              <w:rPr>
                <w:rFonts w:ascii="Times New Roman" w:hAnsi="Times New Roman" w:cs="Times New Roman" w:eastAsia="Times New Roman"/>
                <w:b/>
                <w:color w:val="000000"/>
                <w:spacing w:val="-8"/>
                <w:position w:val="0"/>
                <w:sz w:val="24"/>
                <w:shd w:fill="auto" w:val="clear"/>
              </w:rPr>
              <w:t xml:space="preserve">год.</w:t>
            </w:r>
          </w:p>
        </w:tc>
        <w:tc>
          <w:tcPr>
            <w:tcW w:w="1510" w:type="dxa"/>
            <w:tcBorders>
              <w:top w:val="single" w:color="000000" w:sz="6"/>
              <w:left w:val="single" w:color="000000" w:sz="6"/>
              <w:bottom w:val="single" w:color="000000" w:sz="6"/>
              <w:right w:val="single" w:color="000000" w:sz="6"/>
            </w:tcBorders>
            <w:shd w:color="auto" w:fill="bfbfbf" w:val="clear"/>
            <w:tcMar>
              <w:left w:w="40" w:type="dxa"/>
              <w:right w:w="40" w:type="dxa"/>
            </w:tcMar>
            <w:vAlign w:val="top"/>
          </w:tcPr>
          <w:p>
            <w:pPr>
              <w:spacing w:before="0" w:after="120" w:line="240"/>
              <w:ind w:right="0" w:left="0" w:firstLine="0"/>
              <w:jc w:val="center"/>
              <w:rPr>
                <w:position w:val="0"/>
                <w:shd w:fill="auto" w:val="clear"/>
              </w:rPr>
            </w:pPr>
            <w:r>
              <w:rPr>
                <w:rFonts w:ascii="Times New Roman" w:hAnsi="Times New Roman" w:cs="Times New Roman" w:eastAsia="Times New Roman"/>
                <w:b/>
                <w:color w:val="000000"/>
                <w:spacing w:val="-8"/>
                <w:position w:val="0"/>
                <w:sz w:val="24"/>
                <w:shd w:fill="auto" w:val="clear"/>
              </w:rPr>
              <w:t xml:space="preserve">2020 </w:t>
            </w:r>
            <w:r>
              <w:rPr>
                <w:rFonts w:ascii="Times New Roman" w:hAnsi="Times New Roman" w:cs="Times New Roman" w:eastAsia="Times New Roman"/>
                <w:b/>
                <w:color w:val="000000"/>
                <w:spacing w:val="-8"/>
                <w:position w:val="0"/>
                <w:sz w:val="24"/>
                <w:shd w:fill="auto" w:val="clear"/>
              </w:rPr>
              <w:t xml:space="preserve">год.</w:t>
            </w:r>
          </w:p>
        </w:tc>
        <w:tc>
          <w:tcPr>
            <w:tcW w:w="1342" w:type="dxa"/>
            <w:tcBorders>
              <w:top w:val="single" w:color="000000" w:sz="6"/>
              <w:left w:val="single" w:color="000000" w:sz="6"/>
              <w:bottom w:val="single" w:color="000000" w:sz="6"/>
              <w:right w:val="single" w:color="000000" w:sz="6"/>
            </w:tcBorders>
            <w:shd w:color="auto" w:fill="bfbfbf" w:val="clear"/>
            <w:tcMar>
              <w:left w:w="40" w:type="dxa"/>
              <w:right w:w="40" w:type="dxa"/>
            </w:tcMar>
            <w:vAlign w:val="top"/>
          </w:tcPr>
          <w:p>
            <w:pPr>
              <w:spacing w:before="0" w:after="120" w:line="240"/>
              <w:ind w:right="0" w:left="0" w:firstLine="0"/>
              <w:jc w:val="center"/>
              <w:rPr>
                <w:position w:val="0"/>
                <w:shd w:fill="auto" w:val="clear"/>
              </w:rPr>
            </w:pPr>
            <w:r>
              <w:rPr>
                <w:rFonts w:ascii="Times New Roman" w:hAnsi="Times New Roman" w:cs="Times New Roman" w:eastAsia="Times New Roman"/>
                <w:b/>
                <w:color w:val="000000"/>
                <w:spacing w:val="-8"/>
                <w:position w:val="0"/>
                <w:sz w:val="24"/>
                <w:shd w:fill="auto" w:val="clear"/>
              </w:rPr>
              <w:t xml:space="preserve">2019 </w:t>
            </w:r>
            <w:r>
              <w:rPr>
                <w:rFonts w:ascii="Times New Roman" w:hAnsi="Times New Roman" w:cs="Times New Roman" w:eastAsia="Times New Roman"/>
                <w:b/>
                <w:color w:val="000000"/>
                <w:spacing w:val="-8"/>
                <w:position w:val="0"/>
                <w:sz w:val="24"/>
                <w:shd w:fill="auto" w:val="clear"/>
              </w:rPr>
              <w:t xml:space="preserve">год.</w:t>
            </w:r>
          </w:p>
        </w:tc>
        <w:tc>
          <w:tcPr>
            <w:tcW w:w="1342" w:type="dxa"/>
            <w:tcBorders>
              <w:top w:val="single" w:color="000000" w:sz="6"/>
              <w:left w:val="single" w:color="000000" w:sz="6"/>
              <w:bottom w:val="single" w:color="000000" w:sz="6"/>
              <w:right w:val="single" w:color="000000" w:sz="6"/>
            </w:tcBorders>
            <w:shd w:color="auto" w:fill="bfbfbf" w:val="clear"/>
            <w:tcMar>
              <w:left w:w="40" w:type="dxa"/>
              <w:right w:w="40" w:type="dxa"/>
            </w:tcMar>
            <w:vAlign w:val="top"/>
          </w:tcPr>
          <w:p>
            <w:pPr>
              <w:spacing w:before="0" w:after="120" w:line="240"/>
              <w:ind w:right="0" w:left="0" w:firstLine="0"/>
              <w:jc w:val="center"/>
              <w:rPr>
                <w:position w:val="0"/>
                <w:shd w:fill="auto" w:val="clear"/>
              </w:rPr>
            </w:pPr>
            <w:r>
              <w:rPr>
                <w:rFonts w:ascii="Times New Roman" w:hAnsi="Times New Roman" w:cs="Times New Roman" w:eastAsia="Times New Roman"/>
                <w:b/>
                <w:color w:val="000000"/>
                <w:spacing w:val="-8"/>
                <w:position w:val="0"/>
                <w:sz w:val="24"/>
                <w:shd w:fill="auto" w:val="clear"/>
              </w:rPr>
              <w:t xml:space="preserve">2018 </w:t>
            </w:r>
            <w:r>
              <w:rPr>
                <w:rFonts w:ascii="Times New Roman" w:hAnsi="Times New Roman" w:cs="Times New Roman" w:eastAsia="Times New Roman"/>
                <w:b/>
                <w:color w:val="000000"/>
                <w:spacing w:val="-8"/>
                <w:position w:val="0"/>
                <w:sz w:val="24"/>
                <w:shd w:fill="auto" w:val="clear"/>
              </w:rPr>
              <w:t xml:space="preserve">год.</w:t>
            </w:r>
          </w:p>
        </w:tc>
        <w:tc>
          <w:tcPr>
            <w:tcW w:w="1338" w:type="dxa"/>
            <w:tcBorders>
              <w:top w:val="single" w:color="000000" w:sz="6"/>
              <w:left w:val="single" w:color="000000" w:sz="6"/>
              <w:bottom w:val="single" w:color="000000" w:sz="6"/>
              <w:right w:val="single" w:color="000000" w:sz="6"/>
            </w:tcBorders>
            <w:shd w:color="auto" w:fill="bfbfbf" w:val="clear"/>
            <w:tcMar>
              <w:left w:w="40" w:type="dxa"/>
              <w:right w:w="40" w:type="dxa"/>
            </w:tcMar>
            <w:vAlign w:val="top"/>
          </w:tcPr>
          <w:p>
            <w:pPr>
              <w:spacing w:before="0" w:after="120" w:line="240"/>
              <w:ind w:right="0" w:left="0" w:firstLine="0"/>
              <w:jc w:val="center"/>
              <w:rPr>
                <w:position w:val="0"/>
                <w:shd w:fill="auto" w:val="clear"/>
              </w:rPr>
            </w:pPr>
            <w:r>
              <w:rPr>
                <w:rFonts w:ascii="Times New Roman" w:hAnsi="Times New Roman" w:cs="Times New Roman" w:eastAsia="Times New Roman"/>
                <w:b/>
                <w:color w:val="000000"/>
                <w:spacing w:val="-8"/>
                <w:position w:val="0"/>
                <w:sz w:val="24"/>
                <w:shd w:fill="auto" w:val="clear"/>
              </w:rPr>
              <w:t xml:space="preserve">2017 </w:t>
            </w:r>
            <w:r>
              <w:rPr>
                <w:rFonts w:ascii="Times New Roman" w:hAnsi="Times New Roman" w:cs="Times New Roman" w:eastAsia="Times New Roman"/>
                <w:b/>
                <w:color w:val="000000"/>
                <w:spacing w:val="-8"/>
                <w:position w:val="0"/>
                <w:sz w:val="24"/>
                <w:shd w:fill="auto" w:val="clear"/>
              </w:rPr>
              <w:t xml:space="preserve">год.</w:t>
            </w:r>
          </w:p>
        </w:tc>
      </w:tr>
      <w:tr>
        <w:trPr>
          <w:trHeight w:val="326" w:hRule="auto"/>
          <w:jc w:val="center"/>
        </w:trPr>
        <w:tc>
          <w:tcPr>
            <w:tcW w:w="2180" w:type="dxa"/>
            <w:tcBorders>
              <w:top w:val="single" w:color="000000" w:sz="6"/>
              <w:left w:val="single" w:color="000000" w:sz="6"/>
              <w:bottom w:val="single" w:color="000000" w:sz="6"/>
              <w:right w:val="single" w:color="000000" w:sz="6"/>
            </w:tcBorders>
            <w:shd w:color="auto" w:fill="ffffff" w:val="clear"/>
            <w:tcMar>
              <w:left w:w="40" w:type="dxa"/>
              <w:right w:w="40" w:type="dxa"/>
            </w:tcMar>
            <w:vAlign w:val="top"/>
          </w:tcPr>
          <w:p>
            <w:pPr>
              <w:spacing w:before="0" w:after="120" w:line="240"/>
              <w:ind w:right="0" w:left="0" w:firstLine="0"/>
              <w:jc w:val="both"/>
              <w:rPr>
                <w:position w:val="0"/>
              </w:rPr>
            </w:pPr>
            <w:r>
              <w:rPr>
                <w:rFonts w:ascii="Times New Roman" w:hAnsi="Times New Roman" w:cs="Times New Roman" w:eastAsia="Times New Roman"/>
                <w:color w:val="000000"/>
                <w:spacing w:val="-12"/>
                <w:position w:val="0"/>
                <w:sz w:val="24"/>
                <w:shd w:fill="FFFFFF" w:val="clear"/>
              </w:rPr>
              <w:t xml:space="preserve">Кирково</w:t>
            </w:r>
          </w:p>
        </w:tc>
        <w:tc>
          <w:tcPr>
            <w:tcW w:w="1342" w:type="dxa"/>
            <w:tcBorders>
              <w:top w:val="single" w:color="000000" w:sz="6"/>
              <w:left w:val="single" w:color="000000" w:sz="6"/>
              <w:bottom w:val="single" w:color="000000" w:sz="6"/>
              <w:right w:val="single" w:color="000000" w:sz="6"/>
            </w:tcBorders>
            <w:shd w:color="auto" w:fill="ffffff" w:val="clear"/>
            <w:tcMar>
              <w:left w:w="40" w:type="dxa"/>
              <w:right w:w="40"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22990</w:t>
            </w:r>
          </w:p>
        </w:tc>
        <w:tc>
          <w:tcPr>
            <w:tcW w:w="1510" w:type="dxa"/>
            <w:tcBorders>
              <w:top w:val="single" w:color="000000" w:sz="6"/>
              <w:left w:val="single" w:color="000000" w:sz="6"/>
              <w:bottom w:val="single" w:color="000000" w:sz="6"/>
              <w:right w:val="single" w:color="000000" w:sz="6"/>
            </w:tcBorders>
            <w:shd w:color="auto" w:fill="ffffff" w:val="clear"/>
            <w:tcMar>
              <w:left w:w="40" w:type="dxa"/>
              <w:right w:w="40"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22782</w:t>
            </w:r>
          </w:p>
        </w:tc>
        <w:tc>
          <w:tcPr>
            <w:tcW w:w="1342" w:type="dxa"/>
            <w:tcBorders>
              <w:top w:val="single" w:color="000000" w:sz="6"/>
              <w:left w:val="single" w:color="000000" w:sz="6"/>
              <w:bottom w:val="single" w:color="000000" w:sz="6"/>
              <w:right w:val="single" w:color="000000" w:sz="6"/>
            </w:tcBorders>
            <w:shd w:color="auto" w:fill="ffffff" w:val="clear"/>
            <w:tcMar>
              <w:left w:w="40" w:type="dxa"/>
              <w:right w:w="40"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22375</w:t>
            </w:r>
          </w:p>
        </w:tc>
        <w:tc>
          <w:tcPr>
            <w:tcW w:w="1342" w:type="dxa"/>
            <w:tcBorders>
              <w:top w:val="single" w:color="000000" w:sz="6"/>
              <w:left w:val="single" w:color="000000" w:sz="6"/>
              <w:bottom w:val="single" w:color="000000" w:sz="6"/>
              <w:right w:val="single" w:color="000000" w:sz="6"/>
            </w:tcBorders>
            <w:shd w:color="auto" w:fill="ffffff" w:val="clear"/>
            <w:tcMar>
              <w:left w:w="40" w:type="dxa"/>
              <w:right w:w="40"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21254</w:t>
            </w:r>
          </w:p>
        </w:tc>
        <w:tc>
          <w:tcPr>
            <w:tcW w:w="1338" w:type="dxa"/>
            <w:tcBorders>
              <w:top w:val="single" w:color="000000" w:sz="6"/>
              <w:left w:val="single" w:color="000000" w:sz="6"/>
              <w:bottom w:val="single" w:color="000000" w:sz="6"/>
              <w:right w:val="single" w:color="000000" w:sz="6"/>
            </w:tcBorders>
            <w:shd w:color="auto" w:fill="ffffff" w:val="clear"/>
            <w:tcMar>
              <w:left w:w="40" w:type="dxa"/>
              <w:right w:w="40"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21044</w:t>
            </w:r>
          </w:p>
        </w:tc>
      </w:tr>
    </w:tbl>
    <w:p>
      <w:pPr>
        <w:spacing w:before="0" w:after="120" w:line="240"/>
        <w:ind w:right="0" w:left="0" w:firstLine="720"/>
        <w:jc w:val="both"/>
        <w:rPr>
          <w:rFonts w:ascii="Times New Roman" w:hAnsi="Times New Roman" w:cs="Times New Roman" w:eastAsia="Times New Roman"/>
          <w:i/>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rPr>
        <w:t xml:space="preserve">(</w:t>
      </w:r>
      <w:r>
        <w:rPr>
          <w:rFonts w:ascii="Times New Roman" w:hAnsi="Times New Roman" w:cs="Times New Roman" w:eastAsia="Times New Roman"/>
          <w:i/>
          <w:color w:val="auto"/>
          <w:spacing w:val="0"/>
          <w:position w:val="0"/>
          <w:sz w:val="20"/>
          <w:shd w:fill="auto" w:val="clear"/>
        </w:rPr>
        <w:t xml:space="preserve">По данни от НСИ)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Свободни са 2,5 места за социални работници, като по данни на административната статистика на АЗ няма </w:t>
      </w:r>
      <w:r>
        <w:rPr>
          <w:rFonts w:ascii="Times New Roman" w:hAnsi="Times New Roman" w:cs="Times New Roman" w:eastAsia="Times New Roman"/>
          <w:color w:val="000000"/>
          <w:spacing w:val="0"/>
          <w:position w:val="0"/>
          <w:sz w:val="24"/>
          <w:shd w:fill="auto" w:val="clear"/>
        </w:rPr>
        <w:t xml:space="preserve">регистрирани търсещи работа лица с медицинско образование и с висше образование в областта на Хуманитарните науки.</w:t>
      </w:r>
    </w:p>
    <w:p>
      <w:pPr>
        <w:keepNext w:val="true"/>
        <w:tabs>
          <w:tab w:val="left" w:pos="862" w:leader="none"/>
        </w:tabs>
        <w:spacing w:before="240" w:after="6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КРУМОВГРАД</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за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Крумовград информацията за населението по настоящ адрес е получена от информационна система ГРАО,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АХУ, както и от социалните услуги.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Крумовград, към 31.12.2021 г. е 18 112 жители, от тях 2731 деца до 18-годишна възраст (15,08%), броят на пълнолетните лица е 15 381 (84,9%). Общия брой на лицата с трайни увреждания е 2 060, от тях деца 60 (2,9%).</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993"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tbl>
      <w:tblPr/>
      <w:tblGrid>
        <w:gridCol w:w="2824"/>
        <w:gridCol w:w="1383"/>
        <w:gridCol w:w="2531"/>
        <w:gridCol w:w="1296"/>
        <w:gridCol w:w="1026"/>
      </w:tblGrid>
      <w:tr>
        <w:trPr>
          <w:trHeight w:val="1" w:hRule="atLeast"/>
          <w:jc w:val="left"/>
        </w:trPr>
        <w:tc>
          <w:tcPr>
            <w:tcW w:w="282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z w:val="22"/>
                <w:shd w:fill="auto" w:val="clear"/>
              </w:rPr>
            </w:pPr>
          </w:p>
        </w:tc>
        <w:tc>
          <w:tcPr>
            <w:tcW w:w="138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w:t>
            </w:r>
          </w:p>
        </w:tc>
        <w:tc>
          <w:tcPr>
            <w:tcW w:w="25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ЦНСТДБУ</w:t>
            </w:r>
          </w:p>
        </w:tc>
        <w:tc>
          <w:tcPr>
            <w:tcW w:w="12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10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 </w:t>
            </w:r>
          </w:p>
        </w:tc>
      </w:tr>
      <w:tr>
        <w:trPr>
          <w:trHeight w:val="1" w:hRule="atLeast"/>
          <w:jc w:val="left"/>
        </w:trPr>
        <w:tc>
          <w:tcPr>
            <w:tcW w:w="282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38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5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2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0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82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38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25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c>
          <w:tcPr>
            <w:tcW w:w="12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50</w:t>
            </w:r>
          </w:p>
        </w:tc>
        <w:tc>
          <w:tcPr>
            <w:tcW w:w="10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67</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Крумовград са разкрити 5 социални услуги, от тях всички се предоставят в гр. Крумовград . Общият капацитет на социалните услуги е за 163 потребители, в т.ч. 67 асистентска подкрепа.</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ab/>
        <w:tab/>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Крумовград</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Крумовград е 43 лица, като 41 от тях са за социалната услуга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Асистентска подкрепа“. Няма желаещи лица да ползват социалните услуги на територията на общината. По услуги:</w:t>
      </w: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ЦНСТПЛПР</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ЦНСТПЛУИ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Асистентска подкрепа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41</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Крумовград,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ползващи социални услуги на територията на община Крумовград, от други общини е  23.</w:t>
      </w:r>
    </w:p>
    <w:p>
      <w:pPr>
        <w:numPr>
          <w:ilvl w:val="0"/>
          <w:numId w:val="10709"/>
        </w:numPr>
        <w:spacing w:before="0" w:after="12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ЦОП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 </w:t>
      </w:r>
      <w:r>
        <w:rPr>
          <w:rFonts w:ascii="Times New Roman" w:hAnsi="Times New Roman" w:cs="Times New Roman" w:eastAsia="Times New Roman"/>
          <w:color w:val="auto"/>
          <w:spacing w:val="0"/>
          <w:position w:val="0"/>
          <w:sz w:val="24"/>
          <w:shd w:fill="auto" w:val="clear"/>
        </w:rPr>
        <w:t xml:space="preserve">лица от Ивайловград</w:t>
      </w:r>
    </w:p>
    <w:p>
      <w:pPr>
        <w:numPr>
          <w:ilvl w:val="0"/>
          <w:numId w:val="10709"/>
        </w:numPr>
        <w:spacing w:before="0" w:after="12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ЦНСТДБУ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6 </w:t>
      </w:r>
      <w:r>
        <w:rPr>
          <w:rFonts w:ascii="Times New Roman" w:hAnsi="Times New Roman" w:cs="Times New Roman" w:eastAsia="Times New Roman"/>
          <w:color w:val="auto"/>
          <w:spacing w:val="0"/>
          <w:position w:val="0"/>
          <w:sz w:val="24"/>
          <w:shd w:fill="auto" w:val="clear"/>
        </w:rPr>
        <w:t xml:space="preserve">деца от Елхово, Хасково, с. Кьосево, общ. Кълджали, Момчилград, с. Свобода, общ. Чавдар</w:t>
      </w:r>
    </w:p>
    <w:p>
      <w:pPr>
        <w:numPr>
          <w:ilvl w:val="0"/>
          <w:numId w:val="10709"/>
        </w:numPr>
        <w:spacing w:before="0" w:after="12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ДСХ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15 </w:t>
      </w:r>
      <w:r>
        <w:rPr>
          <w:rFonts w:ascii="Times New Roman" w:hAnsi="Times New Roman" w:cs="Times New Roman" w:eastAsia="Times New Roman"/>
          <w:color w:val="auto"/>
          <w:spacing w:val="0"/>
          <w:position w:val="0"/>
          <w:sz w:val="24"/>
          <w:shd w:fill="auto" w:val="clear"/>
        </w:rPr>
        <w:t xml:space="preserve">лица от Сливен, Ивайловград, Момчилград, Джебел, Кирково, Бургас, Ардино, Ихтиман, Кърджали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Крумовград за последните 5 години</w:t>
      </w:r>
    </w:p>
    <w:p>
      <w:pPr>
        <w:spacing w:before="0" w:after="12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За анализирания 5 годишен период е налице тенденция за увеличаване броя на населението в община Крумовград. Определено влияние за увеличения брой на населението има състоянието на механичното движение на населението. </w:t>
      </w:r>
    </w:p>
    <w:p>
      <w:pPr>
        <w:spacing w:before="0" w:after="12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 сравнение с останалите общини в страната от групата на т.нар.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селски“ общини, процесът на обезлюдяване слабо засяга община Крумовград. Влияние за това </w:t>
      </w:r>
      <w:r>
        <w:rPr>
          <w:rFonts w:ascii="Times New Roman" w:hAnsi="Times New Roman" w:cs="Times New Roman" w:eastAsia="Times New Roman"/>
          <w:color w:val="auto"/>
          <w:spacing w:val="0"/>
          <w:position w:val="0"/>
          <w:sz w:val="23"/>
          <w:shd w:fill="auto" w:val="clear"/>
        </w:rPr>
        <w:t xml:space="preserve">оказва наличието на работни места и добре уредената селищна среда. Специфична характеристика за Крумовград е, че делът на живеещите в селата на общината е много по-голям от тези в града. Близо 72 % живеят в селата, а останалите 28 % са в града.</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color w:val="003366"/>
          <w:spacing w:val="0"/>
          <w:position w:val="0"/>
          <w:sz w:val="24"/>
          <w:shd w:fill="auto" w:val="clear"/>
        </w:rPr>
      </w:pPr>
    </w:p>
    <w:p>
      <w:pPr>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120" w:line="240"/>
        <w:ind w:right="48" w:left="-15"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социалните услуги, на територията на община Крумовград е нает необходимия персонал за осигуряване на грижа за потребителите на услугите. </w:t>
      </w:r>
      <w:r>
        <w:rPr>
          <w:rFonts w:ascii="Times New Roman" w:hAnsi="Times New Roman" w:cs="Times New Roman" w:eastAsia="Times New Roman"/>
          <w:color w:val="auto"/>
          <w:spacing w:val="0"/>
          <w:position w:val="0"/>
          <w:sz w:val="23"/>
          <w:shd w:fill="auto" w:val="clear"/>
        </w:rPr>
        <w:t xml:space="preserve">Няма незаети длъжности.</w:t>
      </w:r>
    </w:p>
    <w:p>
      <w:pPr>
        <w:keepNext w:val="true"/>
        <w:tabs>
          <w:tab w:val="left" w:pos="862" w:leader="none"/>
        </w:tabs>
        <w:spacing w:before="240" w:after="6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КЪРДЖАЛИ</w:t>
      </w:r>
    </w:p>
    <w:p>
      <w:pPr>
        <w:spacing w:before="0" w:after="120" w:line="240"/>
        <w:ind w:right="48" w:left="-15"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120" w:line="240"/>
        <w:ind w:right="48" w:left="-15"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Кърджали информацията за населението по настоящ адрес е получена от НСИ, ДСП, ДБТ,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ГРАО“ на общината. </w:t>
      </w:r>
    </w:p>
    <w:p>
      <w:pPr>
        <w:spacing w:before="0" w:after="120" w:line="240"/>
        <w:ind w:right="48" w:left="-15"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Кърджали към 31.12.2021 г. е 71 404 жители, от тях 13 396 деца до 18-годишна възраст (18,7%), броят на пълнолетните лица е 58 008(81,2%). Общия брой на лицата с трайни увреждания е 9 421, от тях деца 551 (5,85%).</w:t>
      </w:r>
    </w:p>
    <w:p>
      <w:pPr>
        <w:spacing w:before="0" w:after="120" w:line="240"/>
        <w:ind w:right="48" w:left="-15" w:firstLine="422"/>
        <w:jc w:val="both"/>
        <w:rPr>
          <w:rFonts w:ascii="Times New Roman" w:hAnsi="Times New Roman" w:cs="Times New Roman" w:eastAsia="Times New Roman"/>
          <w:color w:val="000000"/>
          <w:spacing w:val="0"/>
          <w:position w:val="0"/>
          <w:sz w:val="24"/>
          <w:shd w:fill="auto" w:val="clear"/>
        </w:rPr>
      </w:pPr>
    </w:p>
    <w:p>
      <w:pPr>
        <w:spacing w:before="0" w:after="120" w:line="240"/>
        <w:ind w:right="48" w:left="-15" w:firstLine="422"/>
        <w:jc w:val="both"/>
        <w:rPr>
          <w:rFonts w:ascii="Times New Roman" w:hAnsi="Times New Roman" w:cs="Times New Roman" w:eastAsia="Times New Roman"/>
          <w:color w:val="000000"/>
          <w:spacing w:val="0"/>
          <w:position w:val="0"/>
          <w:sz w:val="24"/>
          <w:shd w:fill="auto" w:val="clear"/>
        </w:rPr>
      </w:pPr>
    </w:p>
    <w:p>
      <w:pPr>
        <w:spacing w:before="0" w:after="120" w:line="240"/>
        <w:ind w:right="48" w:left="-15" w:firstLine="422"/>
        <w:jc w:val="both"/>
        <w:rPr>
          <w:rFonts w:ascii="Times New Roman" w:hAnsi="Times New Roman" w:cs="Times New Roman" w:eastAsia="Times New Roman"/>
          <w:color w:val="000000"/>
          <w:spacing w:val="0"/>
          <w:position w:val="0"/>
          <w:sz w:val="24"/>
          <w:shd w:fill="auto" w:val="clear"/>
        </w:rPr>
      </w:pPr>
    </w:p>
    <w:p>
      <w:pPr>
        <w:spacing w:before="0" w:after="120" w:line="240"/>
        <w:ind w:right="48" w:left="-15" w:firstLine="422"/>
        <w:jc w:val="both"/>
        <w:rPr>
          <w:rFonts w:ascii="Times New Roman" w:hAnsi="Times New Roman" w:cs="Times New Roman" w:eastAsia="Times New Roman"/>
          <w:color w:val="000000"/>
          <w:spacing w:val="0"/>
          <w:position w:val="0"/>
          <w:sz w:val="24"/>
          <w:shd w:fill="auto" w:val="clear"/>
        </w:rPr>
      </w:pPr>
    </w:p>
    <w:p>
      <w:pPr>
        <w:spacing w:before="0" w:after="120" w:line="240"/>
        <w:ind w:right="48" w:left="-15" w:firstLine="422"/>
        <w:jc w:val="both"/>
        <w:rPr>
          <w:rFonts w:ascii="Times New Roman" w:hAnsi="Times New Roman" w:cs="Times New Roman" w:eastAsia="Times New Roman"/>
          <w:color w:val="000000"/>
          <w:spacing w:val="0"/>
          <w:position w:val="0"/>
          <w:sz w:val="24"/>
          <w:shd w:fill="auto" w:val="clear"/>
        </w:rPr>
      </w:pPr>
    </w:p>
    <w:p>
      <w:pPr>
        <w:spacing w:before="0" w:after="120" w:line="240"/>
        <w:ind w:right="48" w:left="-15" w:firstLine="422"/>
        <w:jc w:val="both"/>
        <w:rPr>
          <w:rFonts w:ascii="Times New Roman" w:hAnsi="Times New Roman" w:cs="Times New Roman" w:eastAsia="Times New Roman"/>
          <w:color w:val="000000"/>
          <w:spacing w:val="0"/>
          <w:position w:val="0"/>
          <w:sz w:val="24"/>
          <w:shd w:fill="auto" w:val="clear"/>
        </w:rPr>
      </w:pPr>
    </w:p>
    <w:p>
      <w:pPr>
        <w:spacing w:before="0" w:after="120" w:line="240"/>
        <w:ind w:right="48" w:left="-15" w:firstLine="422"/>
        <w:jc w:val="both"/>
        <w:rPr>
          <w:rFonts w:ascii="Times New Roman" w:hAnsi="Times New Roman" w:cs="Times New Roman" w:eastAsia="Times New Roman"/>
          <w:color w:val="000000"/>
          <w:spacing w:val="0"/>
          <w:position w:val="0"/>
          <w:sz w:val="24"/>
          <w:shd w:fill="auto" w:val="clear"/>
        </w:rPr>
      </w:pPr>
    </w:p>
    <w:p>
      <w:pPr>
        <w:spacing w:before="0" w:after="120" w:line="240"/>
        <w:ind w:right="48" w:left="-15" w:firstLine="422"/>
        <w:jc w:val="both"/>
        <w:rPr>
          <w:rFonts w:ascii="Times New Roman" w:hAnsi="Times New Roman" w:cs="Times New Roman" w:eastAsia="Times New Roman"/>
          <w:color w:val="000000"/>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Кърджали са разкрити 10 социални услуги с общ капацитет 365 потребители.</w:t>
      </w:r>
    </w:p>
    <w:tbl>
      <w:tblPr/>
      <w:tblGrid>
        <w:gridCol w:w="1007"/>
        <w:gridCol w:w="1007"/>
        <w:gridCol w:w="1007"/>
        <w:gridCol w:w="1006"/>
        <w:gridCol w:w="1007"/>
        <w:gridCol w:w="1007"/>
        <w:gridCol w:w="1006"/>
        <w:gridCol w:w="1007"/>
        <w:gridCol w:w="1006"/>
      </w:tblGrid>
      <w:tr>
        <w:trPr>
          <w:trHeight w:val="1" w:hRule="atLeast"/>
          <w:jc w:val="left"/>
        </w:trPr>
        <w:tc>
          <w:tcPr>
            <w:tcW w:w="100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225" w:left="-15" w:firstLine="360"/>
              <w:jc w:val="both"/>
              <w:rPr>
                <w:rFonts w:ascii="Calibri" w:hAnsi="Calibri" w:cs="Calibri" w:eastAsia="Calibri"/>
                <w:color w:val="auto"/>
                <w:spacing w:val="0"/>
                <w:position w:val="0"/>
                <w:sz w:val="22"/>
                <w:shd w:fill="auto" w:val="clear"/>
              </w:rPr>
            </w:pPr>
          </w:p>
        </w:tc>
        <w:tc>
          <w:tcPr>
            <w:tcW w:w="10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ДЦДМУ</w:t>
            </w:r>
          </w:p>
        </w:tc>
        <w:tc>
          <w:tcPr>
            <w:tcW w:w="10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104"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ДЦПЛУ</w:t>
            </w:r>
          </w:p>
        </w:tc>
        <w:tc>
          <w:tcPr>
            <w:tcW w:w="10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ЦСРИПЛ</w:t>
            </w:r>
          </w:p>
        </w:tc>
        <w:tc>
          <w:tcPr>
            <w:tcW w:w="10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ЦНСТДБУ</w:t>
            </w:r>
          </w:p>
        </w:tc>
        <w:tc>
          <w:tcPr>
            <w:tcW w:w="10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ЦНСТДМУ</w:t>
            </w:r>
          </w:p>
        </w:tc>
        <w:tc>
          <w:tcPr>
            <w:tcW w:w="10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ЗЖЛУИ</w:t>
            </w:r>
          </w:p>
        </w:tc>
        <w:tc>
          <w:tcPr>
            <w:tcW w:w="10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c>
          <w:tcPr>
            <w:tcW w:w="10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314"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r>
      <w:tr>
        <w:trPr>
          <w:trHeight w:val="1" w:hRule="atLeast"/>
          <w:jc w:val="left"/>
        </w:trPr>
        <w:tc>
          <w:tcPr>
            <w:tcW w:w="100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225" w:left="0" w:firstLine="0"/>
              <w:jc w:val="both"/>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Брой СУ</w:t>
            </w:r>
          </w:p>
        </w:tc>
        <w:tc>
          <w:tcPr>
            <w:tcW w:w="10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0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0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0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0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0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0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0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100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225" w:left="-15" w:firstLine="0"/>
              <w:jc w:val="both"/>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Брой потребители</w:t>
            </w:r>
          </w:p>
        </w:tc>
        <w:tc>
          <w:tcPr>
            <w:tcW w:w="10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0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0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0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c>
          <w:tcPr>
            <w:tcW w:w="10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28</w:t>
            </w:r>
          </w:p>
        </w:tc>
        <w:tc>
          <w:tcPr>
            <w:tcW w:w="10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0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185</w:t>
            </w:r>
          </w:p>
        </w:tc>
        <w:tc>
          <w:tcPr>
            <w:tcW w:w="10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Кърджали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Кърджали е 475 лица. По услуги:</w:t>
      </w: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ДЦДУ</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31</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ДЦПЛУ</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41</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ЦСРИПЛ</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33</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ЦНСТДБУ</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ЦНСТДМУ</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27</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ЗЖЛУИ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Асистентска подкрепа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89</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Лицата, от други общини, които ползват социални услуги на територията на община Кърджали са 63</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Кърджали за последните 5 години</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Като резултат от наблюдаваното цялостно негативно демографско развитие, ситуацията на общинско ниво не е изключение от проявяващите се неблагоприятни тенденции, характеризиращи демографското развитие на националната територия. Анализът акцентира върху състоянието на човешките ресурси, в контекста на тяхната роля и значимост на ключов елемент за развитието на дадена територия. Стойностите на показателите за динамика на населението, раждаемост, смъртност, естествен и механичен прираст разкриват, че територията на община Грамада не прави изключение от негативната тенденция на демографско развитие на национално ниво.</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tabs>
          <w:tab w:val="left" w:pos="862" w:leader="none"/>
        </w:tabs>
        <w:spacing w:before="240" w:after="6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МОМЧИЛГРАД</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община Момчилград информацията за населението по настоящ адрес е получена от ДСП,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ГРАО“ на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Административно обслужване и финанси“ на общината, Агенцията за хората с увреждания, кметове и кметски наместници.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Момчилград, към 31.12.2021 г. е 14 353 жители, от тях 1 958 деца до 18-годишна възраст (13,6%), броят на пълнолетните лица е 12 395  (86,3%). Общия брой на лицата с трайни увреждания е 1980, от тях деца 64 (3,23%).</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Момчилград са разкрити 5 социални услуги, Общият капацитет на социалните услуги е за 146 потребители, в т.ч. 53 асистентска подкрепа.</w:t>
      </w:r>
    </w:p>
    <w:tbl>
      <w:tblPr/>
      <w:tblGrid>
        <w:gridCol w:w="2125"/>
        <w:gridCol w:w="1519"/>
        <w:gridCol w:w="1705"/>
        <w:gridCol w:w="1038"/>
        <w:gridCol w:w="1903"/>
        <w:gridCol w:w="770"/>
      </w:tblGrid>
      <w:tr>
        <w:trPr>
          <w:trHeight w:val="1" w:hRule="atLeast"/>
          <w:jc w:val="left"/>
        </w:trPr>
        <w:tc>
          <w:tcPr>
            <w:tcW w:w="21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z w:val="22"/>
                <w:shd w:fill="auto" w:val="clear"/>
              </w:rPr>
            </w:pPr>
          </w:p>
        </w:tc>
        <w:tc>
          <w:tcPr>
            <w:tcW w:w="15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ДЦДМУ</w:t>
            </w:r>
          </w:p>
        </w:tc>
        <w:tc>
          <w:tcPr>
            <w:tcW w:w="17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ЦСРИПЛ</w:t>
            </w:r>
          </w:p>
        </w:tc>
        <w:tc>
          <w:tcPr>
            <w:tcW w:w="10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ЦОП </w:t>
            </w:r>
          </w:p>
        </w:tc>
        <w:tc>
          <w:tcPr>
            <w:tcW w:w="19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ЦНСТДБУ</w:t>
            </w:r>
          </w:p>
        </w:tc>
        <w:tc>
          <w:tcPr>
            <w:tcW w:w="7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left"/>
        </w:trPr>
        <w:tc>
          <w:tcPr>
            <w:tcW w:w="21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15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0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9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7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21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15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c>
          <w:tcPr>
            <w:tcW w:w="17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0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35</w:t>
            </w:r>
          </w:p>
        </w:tc>
        <w:tc>
          <w:tcPr>
            <w:tcW w:w="19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7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53</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община Момчилград.</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Момчилград е 66 лица. По услуги:</w:t>
      </w: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ЦНСТПЛПР</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Асистентска подкрепа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65</w:t>
            </w:r>
          </w:p>
        </w:tc>
      </w:tr>
    </w:tbl>
    <w:p>
      <w:pPr>
        <w:spacing w:before="0" w:after="12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Момчилград,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Потребители от други общини, които ползват услугите, функциониращи на територията на община Момчилград са 20 деца, както следва:</w:t>
      </w:r>
    </w:p>
    <w:p>
      <w:pPr>
        <w:numPr>
          <w:ilvl w:val="0"/>
          <w:numId w:val="10798"/>
        </w:numPr>
        <w:spacing w:before="0" w:after="120" w:line="240"/>
        <w:ind w:right="0" w:left="1069"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Дневен център за деца с увреждания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9 </w:t>
      </w:r>
      <w:r>
        <w:rPr>
          <w:rFonts w:ascii="Times New Roman" w:hAnsi="Times New Roman" w:cs="Times New Roman" w:eastAsia="Times New Roman"/>
          <w:color w:val="auto"/>
          <w:spacing w:val="0"/>
          <w:position w:val="0"/>
          <w:sz w:val="24"/>
          <w:shd w:fill="auto" w:val="clear"/>
        </w:rPr>
        <w:t xml:space="preserve">деца от община Кирково;</w:t>
      </w:r>
    </w:p>
    <w:p>
      <w:pPr>
        <w:numPr>
          <w:ilvl w:val="0"/>
          <w:numId w:val="10798"/>
        </w:numPr>
        <w:spacing w:before="0" w:after="120" w:line="240"/>
        <w:ind w:right="0" w:left="1069"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Център за настаняване от семеен тип за деца без увреждания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6 </w:t>
      </w:r>
      <w:r>
        <w:rPr>
          <w:rFonts w:ascii="Times New Roman" w:hAnsi="Times New Roman" w:cs="Times New Roman" w:eastAsia="Times New Roman"/>
          <w:color w:val="auto"/>
          <w:spacing w:val="0"/>
          <w:position w:val="0"/>
          <w:sz w:val="24"/>
          <w:shd w:fill="auto" w:val="clear"/>
        </w:rPr>
        <w:t xml:space="preserve">деца от гр. Кърджали, 1 дете от гр. Димитровград, 1 дете от гр. Харманли, 1 дете от гр. Несебър, 1 дете от гр. Самоков, 1 дете от гр. Севлиево.</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Момчилград за последните 5 години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Налице са тенденции за намаляване на населението. Приблизително 50% от населението е съсредоточено в общинския център, като гъстотата му е 40,08 души на кв. км.</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 периода 2017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2021</w:t>
      </w:r>
      <w:r>
        <w:rPr>
          <w:rFonts w:ascii="Times New Roman" w:hAnsi="Times New Roman" w:cs="Times New Roman" w:eastAsia="Times New Roman"/>
          <w:color w:val="auto"/>
          <w:spacing w:val="0"/>
          <w:position w:val="0"/>
          <w:sz w:val="24"/>
          <w:shd w:fill="auto" w:val="clear"/>
        </w:rPr>
        <w:t xml:space="preserve">г. </w:t>
      </w:r>
      <w:r>
        <w:rPr>
          <w:rFonts w:ascii="Times New Roman" w:hAnsi="Times New Roman" w:cs="Times New Roman" w:eastAsia="Times New Roman"/>
          <w:i/>
          <w:color w:val="auto"/>
          <w:spacing w:val="0"/>
          <w:position w:val="0"/>
          <w:sz w:val="24"/>
          <w:shd w:fill="auto" w:val="clear"/>
        </w:rPr>
        <w:t xml:space="preserve">естествения прираст на населението е с отрицателен</w:t>
      </w:r>
      <w:r>
        <w:rPr>
          <w:rFonts w:ascii="Times New Roman" w:hAnsi="Times New Roman" w:cs="Times New Roman" w:eastAsia="Times New Roman"/>
          <w:color w:val="auto"/>
          <w:spacing w:val="0"/>
          <w:position w:val="0"/>
          <w:sz w:val="24"/>
          <w:shd w:fill="auto" w:val="clear"/>
        </w:rPr>
        <w:t xml:space="preserve"> показател (родени 601, починали 1060 души).</w:t>
      </w:r>
    </w:p>
    <w:p>
      <w:pPr>
        <w:spacing w:before="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r>
        <w:rPr>
          <w:rFonts w:ascii="Times New Roman" w:hAnsi="Times New Roman" w:cs="Times New Roman" w:eastAsia="Times New Roman"/>
          <w:b/>
          <w:color w:val="auto"/>
          <w:spacing w:val="0"/>
          <w:position w:val="0"/>
          <w:sz w:val="24"/>
          <w:shd w:fill="auto" w:val="clear"/>
        </w:rPr>
        <w:t xml:space="preserve">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момента на извършване на анализа общия брой служители, който е ангажиран в предоставяне на социални услуги, в услугите Държавно делегирани дейности е 34.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видове услуги щатните разписания са както следва: </w:t>
      </w:r>
    </w:p>
    <w:p>
      <w:pPr>
        <w:numPr>
          <w:ilvl w:val="0"/>
          <w:numId w:val="10801"/>
        </w:numPr>
        <w:spacing w:before="0" w:after="12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Дневен център за деца с увреждания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10 </w:t>
      </w:r>
      <w:r>
        <w:rPr>
          <w:rFonts w:ascii="Times New Roman" w:hAnsi="Times New Roman" w:cs="Times New Roman" w:eastAsia="Times New Roman"/>
          <w:color w:val="auto"/>
          <w:spacing w:val="0"/>
          <w:position w:val="0"/>
          <w:sz w:val="24"/>
          <w:shd w:fill="auto" w:val="clear"/>
        </w:rPr>
        <w:t xml:space="preserve">щатни бройки</w:t>
      </w:r>
    </w:p>
    <w:p>
      <w:pPr>
        <w:numPr>
          <w:ilvl w:val="0"/>
          <w:numId w:val="10801"/>
        </w:numPr>
        <w:spacing w:before="0" w:after="12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Център за социална рехабилитация и интеграция за пълнолетни лица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6 </w:t>
      </w:r>
      <w:r>
        <w:rPr>
          <w:rFonts w:ascii="Times New Roman" w:hAnsi="Times New Roman" w:cs="Times New Roman" w:eastAsia="Times New Roman"/>
          <w:color w:val="auto"/>
          <w:spacing w:val="0"/>
          <w:position w:val="0"/>
          <w:sz w:val="24"/>
          <w:shd w:fill="auto" w:val="clear"/>
        </w:rPr>
        <w:t xml:space="preserve">щатни бройки;</w:t>
      </w:r>
    </w:p>
    <w:p>
      <w:pPr>
        <w:numPr>
          <w:ilvl w:val="0"/>
          <w:numId w:val="10801"/>
        </w:numPr>
        <w:spacing w:before="0" w:after="12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Център за обществена подкрепа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7 </w:t>
      </w:r>
      <w:r>
        <w:rPr>
          <w:rFonts w:ascii="Times New Roman" w:hAnsi="Times New Roman" w:cs="Times New Roman" w:eastAsia="Times New Roman"/>
          <w:color w:val="auto"/>
          <w:spacing w:val="0"/>
          <w:position w:val="0"/>
          <w:sz w:val="24"/>
          <w:shd w:fill="auto" w:val="clear"/>
        </w:rPr>
        <w:t xml:space="preserve">щатни бройки;</w:t>
      </w:r>
    </w:p>
    <w:p>
      <w:pPr>
        <w:numPr>
          <w:ilvl w:val="0"/>
          <w:numId w:val="10801"/>
        </w:numPr>
        <w:spacing w:before="0" w:after="12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Център за настаняване от семеен тип за деца без увреждания -11 щатни бройки.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момента на извършването на анализа общият брой на служителите извършващи дейности по предоставяне на социални услуги е 34. </w:t>
      </w:r>
    </w:p>
    <w:p>
      <w:pPr>
        <w:keepNext w:val="true"/>
        <w:tabs>
          <w:tab w:val="left" w:pos="862" w:leader="none"/>
        </w:tabs>
        <w:spacing w:before="240" w:after="6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ОБЩИНА ЧЕРНООЧЕНЕ</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в общината по критериите за социални и интегрирани здравно- 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изготвянето на анализа са използвани официални източници на информация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данни на Националния статистически институт, инструментите на ГРАО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Национална база данни, Локална база данни. Данни от ДСП, ДБТ, учебни заведения.</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община Черноочене, към 31.12.2021 г. е 8 668 жители, от тях 1 552 деца до 18-годишна възраст (17,9%), броят на пълнолетните лица е 7116 (82,1%). Общия брой на лицата с трайни увреждания е 1033, от тях деца 21 (2,03%).</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общината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Черноочене са разкрити 3 социални услуги, две от които се предоставят в с. Минзухар и с. Патица, а една в с. Черноочене Общият капацитет на социалните услуги е за 55 потребители, в т.ч. 39 асистентска подкрепа.</w:t>
      </w:r>
    </w:p>
    <w:tbl>
      <w:tblPr/>
      <w:tblGrid>
        <w:gridCol w:w="4379"/>
        <w:gridCol w:w="3094"/>
        <w:gridCol w:w="1587"/>
      </w:tblGrid>
      <w:tr>
        <w:trPr>
          <w:trHeight w:val="1" w:hRule="atLeast"/>
          <w:jc w:val="left"/>
        </w:trPr>
        <w:tc>
          <w:tcPr>
            <w:tcW w:w="437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z w:val="22"/>
                <w:shd w:fill="auto" w:val="clear"/>
              </w:rPr>
            </w:pPr>
          </w:p>
        </w:tc>
        <w:tc>
          <w:tcPr>
            <w:tcW w:w="30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ЗЖЛУИ</w:t>
            </w:r>
          </w:p>
        </w:tc>
        <w:tc>
          <w:tcPr>
            <w:tcW w:w="1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АП</w:t>
            </w:r>
          </w:p>
        </w:tc>
      </w:tr>
      <w:tr>
        <w:trPr>
          <w:trHeight w:val="1" w:hRule="atLeast"/>
          <w:jc w:val="left"/>
        </w:trPr>
        <w:tc>
          <w:tcPr>
            <w:tcW w:w="437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СУ</w:t>
            </w:r>
          </w:p>
        </w:tc>
        <w:tc>
          <w:tcPr>
            <w:tcW w:w="30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1" w:hRule="atLeast"/>
          <w:jc w:val="left"/>
        </w:trPr>
        <w:tc>
          <w:tcPr>
            <w:tcW w:w="437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потребители</w:t>
            </w:r>
          </w:p>
        </w:tc>
        <w:tc>
          <w:tcPr>
            <w:tcW w:w="30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c>
          <w:tcPr>
            <w:tcW w:w="1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39</w:t>
            </w:r>
          </w:p>
        </w:tc>
      </w:tr>
    </w:tbl>
    <w:p>
      <w:pPr>
        <w:spacing w:before="0" w:after="12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община Черноочене</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желаещите да ползват социални услуги на територията на община Черноочене е 57 лица. По услуги:</w:t>
      </w: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Асистентска подкрепа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57</w:t>
            </w:r>
          </w:p>
        </w:tc>
      </w:tr>
    </w:tbl>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община Черноочене,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които ползват социални услуги на територията на община Черноочене, които ползват социалната услуга ЗЖЛУИ от други общини, е 15 от гр. Габрово, с. Стремци, с. Чубрика, гр. Златоград, гр. Нови пазар, с. Петковци, гр. Хасково, с. Венец, гр. Димитровград, гр. Шумен, гр. Варна, гр. Велики Преслав, гр. Пазарджик, гр. Кубрат.</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община Черноочене за последните 5 години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Броят на населението в община Черноочене бележи изразена тенденция към намаление. Средногодишният абсолютен прираст е отрицателен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общината обезлюдява средно със 100 души на година, като най-чувствително е намалението през 2021 г.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114 </w:t>
      </w:r>
      <w:r>
        <w:rPr>
          <w:rFonts w:ascii="Times New Roman" w:hAnsi="Times New Roman" w:cs="Times New Roman" w:eastAsia="Times New Roman"/>
          <w:color w:val="auto"/>
          <w:spacing w:val="0"/>
          <w:position w:val="0"/>
          <w:sz w:val="24"/>
          <w:shd w:fill="auto" w:val="clear"/>
        </w:rPr>
        <w:t xml:space="preserve">човека. Естественият прираст за всички години от анализирания период е с отрицателни стойности, което е индикация за трайна, макар и бавна тенденция на намаляване на населението в общината, обезлюдяване на по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малките населени места и застаряване на населението в общината. Една от причините за отрицателния естествен прираст е ниската раждаемост през последните години, която е свързана с негативното влияние на редица социални, икономически, демографски и други фактори. Към тях се отнасят недостатъчната материална осигуреност на семействата и психическата нагласа за малко деца, снижаването на жизнения стандарт, безработицата и др.</w:t>
      </w:r>
    </w:p>
    <w:p>
      <w:pPr>
        <w:spacing w:before="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r>
        <w:rPr>
          <w:rFonts w:ascii="Times New Roman" w:hAnsi="Times New Roman" w:cs="Times New Roman" w:eastAsia="Times New Roman"/>
          <w:b/>
          <w:color w:val="auto"/>
          <w:spacing w:val="0"/>
          <w:position w:val="0"/>
          <w:sz w:val="24"/>
          <w:shd w:fill="auto" w:val="clear"/>
        </w:rPr>
        <w:t xml:space="preserve">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направената съпоставка на данните за броя на назначените служители в съществуващите социални услуги на територията на общината и броя на незаетите длъжности към момента на изготвяне на анализа по утвърдените щатни разписания във всяка услуга бе установено, че няма  незаети щатни бройки в съществуващите на територията на община Черноочене социални услуги, делегирани държавни дейности.</w:t>
      </w:r>
    </w:p>
    <w:p>
      <w:pPr>
        <w:keepNext w:val="true"/>
        <w:spacing w:before="360" w:after="120" w:line="240"/>
        <w:ind w:right="0" w:left="0" w:firstLine="0"/>
        <w:jc w:val="both"/>
        <w:rPr>
          <w:rFonts w:ascii="Times New Roman" w:hAnsi="Times New Roman" w:cs="Times New Roman" w:eastAsia="Times New Roman"/>
          <w:b/>
          <w:color w:val="003366"/>
          <w:spacing w:val="0"/>
          <w:position w:val="0"/>
          <w:sz w:val="24"/>
          <w:shd w:fill="auto" w:val="clear"/>
        </w:rPr>
      </w:pPr>
      <w:r>
        <w:rPr>
          <w:rFonts w:ascii="Times New Roman" w:hAnsi="Times New Roman" w:cs="Times New Roman" w:eastAsia="Times New Roman"/>
          <w:b/>
          <w:color w:val="003366"/>
          <w:spacing w:val="0"/>
          <w:position w:val="0"/>
          <w:sz w:val="24"/>
          <w:shd w:fill="auto" w:val="clear"/>
        </w:rPr>
        <w:t xml:space="preserve">АНАЛИЗ НА ПОТРЕБНОСТИТЕ В ОБЛАСТ КЪРДЖАЛИ (обобщено)</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Показателите по критериите за всички социални и интегрирани здравно-социални услуги, обобщени за област Кърджали по общини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общините от област Кърджали информацията за населението критериите съгласно Наредбата за планиране на социалните услуги е получена от НСИ, информационна система ГРАО на общините, Агенция за хората с увреждания, РЗИ, от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от Дирекция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 кметове и кметски наместници, училища, лечебни заведения, социални услуги и др.</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населението на област Кърджали, към 31.12.2021 г. е 152 672 жители, от тях 24 324 деца до 18-годишна възраст (15,93%), броят на пълнолетните лица е 128 348 (84,07%). Общия брой на лицата с трайни увреждания е 31 600, от тях деца 1449 (4,59%).</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на територията на областта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брои на социалните услуги на територията на област Кърджали е 31 с 1014 потребители. Броят на социалните услуги за пълнолетни лица е 17 със 731 потребители.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графиките е видно, че на територията на областта услугите за резидентна грижа (ЦНСТ, ЗЖ) 11 услуги за 116 потребители, услугите в домашна среда (АП)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7 </w:t>
      </w:r>
      <w:r>
        <w:rPr>
          <w:rFonts w:ascii="Times New Roman" w:hAnsi="Times New Roman" w:cs="Times New Roman" w:eastAsia="Times New Roman"/>
          <w:color w:val="auto"/>
          <w:spacing w:val="0"/>
          <w:position w:val="0"/>
          <w:sz w:val="24"/>
          <w:shd w:fill="auto" w:val="clear"/>
        </w:rPr>
        <w:t xml:space="preserve">услуги за 480 потребители, услугите в специализирани институции за пълнолетни лица (ДСХ) 2 услуги за 80 потребители и консултативни услуги (ЦОП, ЦСРИ)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6 </w:t>
      </w:r>
      <w:r>
        <w:rPr>
          <w:rFonts w:ascii="Times New Roman" w:hAnsi="Times New Roman" w:cs="Times New Roman" w:eastAsia="Times New Roman"/>
          <w:color w:val="auto"/>
          <w:spacing w:val="0"/>
          <w:position w:val="0"/>
          <w:sz w:val="24"/>
          <w:shd w:fill="auto" w:val="clear"/>
        </w:rPr>
        <w:t xml:space="preserve">услуги за 235 потребители.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за деца са 14 със 283 потребители.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здравно-социални услуги на територията на област Кърджали</w:t>
      </w:r>
    </w:p>
    <w:tbl>
      <w:tblPr/>
      <w:tblGrid>
        <w:gridCol w:w="3160"/>
        <w:gridCol w:w="5900"/>
      </w:tblGrid>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Социална услуга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желаещи да ползват СУ</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ДЦДУ</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31</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ДЦПЛУ</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42</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ЦСРИПЛ</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33</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ЦНСТДБУ</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ЦНСТДМУ</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27</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ЗЖЛУИ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ДСХ</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ЦНСТПЛПР</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ЦНСТПЛУИ</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r>
      <w:tr>
        <w:trPr>
          <w:trHeight w:val="1" w:hRule="atLeast"/>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Асистентска подкрепа</w:t>
            </w:r>
          </w:p>
        </w:tc>
        <w:tc>
          <w:tcPr>
            <w:tcW w:w="5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2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444</w:t>
            </w:r>
          </w:p>
        </w:tc>
      </w:tr>
    </w:tbl>
    <w:p>
      <w:pPr>
        <w:spacing w:before="0" w:after="12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Общо 204 лица са включени в списъците на чакащите за ползване на социални услуги в териториалния обхват на област Кърджали. Голям е и броят на лицата за включване в Асистентска подкрепа.</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на територията на област Кърджали, различна от  общината по настоящ адрес</w:t>
      </w:r>
    </w:p>
    <w:p>
      <w:pPr>
        <w:spacing w:before="0" w:after="120" w:line="240"/>
        <w:ind w:right="0" w:left="0" w:firstLine="709"/>
        <w:jc w:val="both"/>
        <w:rPr>
          <w:rFonts w:ascii="Times New Roman" w:hAnsi="Times New Roman" w:cs="Times New Roman" w:eastAsia="Times New Roman"/>
          <w:i/>
          <w:color w:val="auto"/>
          <w:spacing w:val="0"/>
          <w:position w:val="0"/>
          <w:sz w:val="24"/>
          <w:shd w:fill="auto" w:val="clear"/>
        </w:rPr>
      </w:pPr>
    </w:p>
    <w:p>
      <w:pPr>
        <w:spacing w:before="0" w:after="12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следващата графика е представено сравнение между функциониращите към момента социални услуги, финансирани от държавния бюджет, съотнесени към социалните услуги по чл. 15 от ЗСУ, максималния брой потребители, съгласно критериите по Наредбата за планиране на социалните услуги и поетите ангажименти от общините в областта</w:t>
      </w:r>
    </w:p>
    <w:p>
      <w:pPr>
        <w:spacing w:before="0" w:after="120" w:line="240"/>
        <w:ind w:right="0" w:left="0" w:firstLine="709"/>
        <w:jc w:val="both"/>
        <w:rPr>
          <w:rFonts w:ascii="Times New Roman" w:hAnsi="Times New Roman" w:cs="Times New Roman" w:eastAsia="Times New Roman"/>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за демографското развитие в област Кърджали за последните 5 години</w:t>
      </w:r>
    </w:p>
    <w:p>
      <w:pPr>
        <w:spacing w:before="0" w:after="12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Анализа на данните на демографското развитие в област Кърджали за периода 2021 г.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2017 </w:t>
      </w:r>
      <w:r>
        <w:rPr>
          <w:rFonts w:ascii="Times New Roman" w:hAnsi="Times New Roman" w:cs="Times New Roman" w:eastAsia="Times New Roman"/>
          <w:color w:val="auto"/>
          <w:spacing w:val="0"/>
          <w:position w:val="0"/>
          <w:sz w:val="24"/>
          <w:shd w:fill="auto" w:val="clear"/>
        </w:rPr>
        <w:t xml:space="preserve">г. показва тенденция към намаление на броя на населението във всички общини.</w:t>
      </w:r>
    </w:p>
    <w:p>
      <w:pPr>
        <w:tabs>
          <w:tab w:val="left" w:pos="709" w:leader="none"/>
        </w:tabs>
        <w:suppressAutoHyphens w:val="true"/>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Във всички общини се отчита ниска раждаемост с тенденция към намаление, висока смъртност и отрицателен естествен прираст. Прогресивно намаляване на относителния дял на лицата в трудоспособна възраст. Устойчива тенденция към емиграция и обезлюдяване. Висок е броя на хората с увреждания, както и на самотно живеещите стари хора от  селата в общината, с невъзможност за самообслужване.</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Всички тези фактори, показват че на територията на общината населението застарява и има необходимост от социални услуги за резидентна грижа и услуги в домашна среда. </w:t>
      </w:r>
    </w:p>
    <w:p>
      <w:pPr>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По-голяма част от социалните услуги в областта са обезпечени със служители, необходими за предоставянето им. Общините са използвали различни възможности за наемане на необходимите служители за извършване на дейностите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специалисти се търсят както в Дирекции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Бюра по труда“, така и на свободния пазар, като на работа се наемат и пенсионери. На база на предоставената от общините информация за заетостта на служителите в социалните услуги, се очертава тенденция за недостиг основно на медицински специалисти.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Една от предпоставките за ефективност на социалните  услуги е наличието на квалифициран и мотивиран персонал. Развитието и обучението на човешките ресурси в тази област е важна предпоставка за качествени услуги, които да съдействат за повишаване и качеството на живот на отделните индивиди, семейства и групи.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Кърджали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са ключов фактор за ефективно социално включване и участие в живота на обществото на всички групи лица, които имат необходимост от подкрепа. Във основа на направения анализ на състоянието на социалните услуги на територията на областта и очерталите се тенденции, могат да се направят следните изводи:</w:t>
      </w:r>
    </w:p>
    <w:p>
      <w:pPr>
        <w:spacing w:before="0" w:after="12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има социални услуги за резидентна грижа за пълнолетни лица, но броят им е недостатъчен за задоволяване на потребностите на жителите на областта. На база извършените анализи от общините в област Кърджали се установява необезпечен голям брой потребители за резидентна грижа за лица с психични разстройства, интелектуални затруднения, физически увреждания и деменция, както и за възрастни хора в надтрудоспособна възраст без увреждания.</w:t>
      </w:r>
    </w:p>
    <w:p>
      <w:pPr>
        <w:spacing w:before="0" w:after="12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Със споразумение на областно ниво са предложени за създаване 11 социални услуги за резидентна грижа от горецитираните целеви групи.</w:t>
      </w:r>
    </w:p>
    <w:p>
      <w:pPr>
        <w:spacing w:before="0" w:after="12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Недостатъчен е броят на услугите за дневна и почасова грижа и подкрепа за деца и пълнолетни лица.</w:t>
      </w:r>
    </w:p>
    <w:p>
      <w:pPr>
        <w:spacing w:before="0" w:after="12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 територията на областта няма интегрирани здравно-социални услуги за деца и пълнолетни лица;</w:t>
      </w:r>
    </w:p>
    <w:p>
      <w:pPr>
        <w:spacing w:before="0" w:after="12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Осигуряването на равен достъп до услуги на всички нуждаещи се чрез планиране на социални услуги, съгласно реалните потребности и нужди и равномерно разпределение на социалните услуги на територията на област Кърджали са съществена част от политиките на областната и общинските администрации.</w:t>
      </w:r>
    </w:p>
    <w:p>
      <w:pPr>
        <w:keepNext w:val="true"/>
        <w:numPr>
          <w:ilvl w:val="0"/>
          <w:numId w:val="10883"/>
        </w:numPr>
        <w:tabs>
          <w:tab w:val="left" w:pos="432" w:leader="none"/>
        </w:tabs>
        <w:spacing w:before="240" w:after="60" w:line="240"/>
        <w:ind w:right="0" w:left="432" w:hanging="432"/>
        <w:jc w:val="both"/>
        <w:rPr>
          <w:rFonts w:ascii="Times New Roman" w:hAnsi="Times New Roman" w:cs="Times New Roman" w:eastAsia="Times New Roman"/>
          <w:b/>
          <w:color w:val="003366"/>
          <w:spacing w:val="0"/>
          <w:position w:val="0"/>
          <w:sz w:val="36"/>
          <w:shd w:fill="auto" w:val="clear"/>
        </w:rPr>
      </w:pPr>
      <w:r>
        <w:rPr>
          <w:rFonts w:ascii="Times New Roman" w:hAnsi="Times New Roman" w:cs="Times New Roman" w:eastAsia="Times New Roman"/>
          <w:b/>
          <w:color w:val="003366"/>
          <w:spacing w:val="0"/>
          <w:position w:val="0"/>
          <w:sz w:val="36"/>
          <w:shd w:fill="auto" w:val="clear"/>
        </w:rPr>
        <w:t xml:space="preserve">Обобщение и изводи. Препоръки </w:t>
      </w:r>
    </w:p>
    <w:p>
      <w:pPr>
        <w:keepNext w:val="true"/>
        <w:numPr>
          <w:ilvl w:val="0"/>
          <w:numId w:val="10883"/>
        </w:numPr>
        <w:tabs>
          <w:tab w:val="left" w:pos="718" w:leader="none"/>
          <w:tab w:val="left" w:pos="576" w:leader="none"/>
        </w:tabs>
        <w:spacing w:before="360" w:after="120" w:line="240"/>
        <w:ind w:right="0" w:left="576" w:hanging="576"/>
        <w:jc w:val="both"/>
        <w:rPr>
          <w:rFonts w:ascii="Times New Roman" w:hAnsi="Times New Roman" w:cs="Times New Roman" w:eastAsia="Times New Roman"/>
          <w:b/>
          <w:color w:val="003366"/>
          <w:spacing w:val="0"/>
          <w:position w:val="0"/>
          <w:sz w:val="28"/>
          <w:shd w:fill="auto" w:val="clear"/>
        </w:rPr>
      </w:pPr>
      <w:r>
        <w:rPr>
          <w:rFonts w:ascii="Times New Roman" w:hAnsi="Times New Roman" w:cs="Times New Roman" w:eastAsia="Times New Roman"/>
          <w:b/>
          <w:color w:val="003366"/>
          <w:spacing w:val="0"/>
          <w:position w:val="0"/>
          <w:sz w:val="28"/>
          <w:shd w:fill="auto" w:val="clear"/>
        </w:rPr>
        <w:t xml:space="preserve">Обобщение</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 Наредбата за планирането на социалните услуги се уреждат критериите за определяне на социалните и интегрираните здравно-социални услуги на общинско и областно ниво и на максималния брой потребители на тези услуги, за които се осигурява изцяло или частично финансиране от държавния бюджет чрез включването им в Националната карта на социалните услуги по чл. 34 от ЗСУ, както и редът за нейното разработване и актуализиране. С наредбата се определят и критериите, редът и условията за разработване от общините на анализа на потребностите и предложенията по чл. 35, ал. 1 от ЗСУ, редът за осъществяване на координация, сътрудничество и съгласуване на национално, областно и общинско ниво при разработването на Картата и др.</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в Република България са децентрализирани, като управлението им е възложено на кметовете на съответните общини. Този факт предоставя възможността на общините да развиват и управляват услугите, въз основа на идентифицираните потребности на населението от конкретни социални услуги.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страна на общинските администрации беше необходимо да бъдат разгледани и обсъдени всички възможности, разписани в закона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да бъдат обследвани както съществуващите социални услуги и дейностите който се предоставят в тях, така и потребностите на населението в съответните общини и области и се планират всички необходими социални услуги, за задоволяване на тези потребности.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Нормативно определените ангажименти на общините са свързани с изготвянето на анализ на потребностите и предложение за планиране на социалните услуги на общинско и областно ниво. По отношение на обобщаването на информацията от изготвените от общините анализи, може да се направят следните обобщения:</w:t>
      </w:r>
    </w:p>
    <w:p>
      <w:pPr>
        <w:numPr>
          <w:ilvl w:val="0"/>
          <w:numId w:val="10886"/>
        </w:numPr>
        <w:spacing w:before="0" w:after="12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Всички общини в 28-те области в страната са представили своите анализи на потребностите от социални услуги и интегрирани здравно-социални услуги на общинско, които се финансират изцяло или частично от държавния бюджет, като данните са обработени от АСП, обобщени и синтезирани на ниво община и област, съгласно определените критерии в чл. 45 от НПСУ и изцяло отговарят на изискванията за максималният брой на потребителите на всички социални услуги, за които се осигурява изцяло или частично финансиране от държавния бюджет, който не може да бъде по-малък от достигнатия брой потребители на тези социални услуги, делегирани от държавата дейности, към 31 декември на годината, предхождаща годината на приемането на картата.</w:t>
      </w:r>
    </w:p>
    <w:p>
      <w:pPr>
        <w:numPr>
          <w:ilvl w:val="0"/>
          <w:numId w:val="10886"/>
        </w:numPr>
        <w:spacing w:before="0" w:after="12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До м. април 2023 г. общините разработиха анализ и предложение, относно потребностите от социални услуги. Критериите за определяне на услугите и максималния брой на потребителите в Картата са определени в НПСУ, съобразно броя и демографския профил на населението. В центъра на процеса на планиране са поставени реалните нужди на населението, като водеща е ролята на общините за осигуряване на минимален пакет от услуги на областно и общинско ниво, което ще допринесе за подобряване на ефективността на предоставяните социални услуги за уязвимите групи и ще подпомогне тяхното социално включване. Използвайки препоръчителните структури, общините разработиха анализите и предложенията си, като са изследвани спецификите на всяка община и са описани всички факти и обстоятелства, който имат значение за конкретната община. В периода м. април - май 2023 г. същите са представени в АСП за обобщаване и изготвяне на настоящия Анализ на потребностите на национално ниво и предложение на Национална карта на социалните услуги. При част от общините се наблюдава непълна и/или неточна и не добре структурирана информация.</w:t>
      </w:r>
    </w:p>
    <w:p>
      <w:pPr>
        <w:numPr>
          <w:ilvl w:val="0"/>
          <w:numId w:val="10886"/>
        </w:numPr>
        <w:spacing w:before="0" w:after="12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база на анализа и критериите за определяне на услугите и на максималния им брой потребители по формулата, регламентирана в НПСУ и в резултат на сравнението между съществуващите към момента услуги и установената реална необходимост на практика всяка община е определила каква нужда от услуги има за задоволяване на потребностите на населението си. Всичко това дава възможност в предложението на Националната карта на социалните услуги да се включат всички услуги със съответния максимален брой потребители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съществуващите към момента социални услуги и необходимите, които следва да бъдат създадени в бъдеще, и е предпоставка за създаване на пълна мрежа от социални услуги, с оглед задоволяване на потребностите на населението в общината и на областно ниво, включително в дългосрочен план. Важно е да се отбележи, че Закона за социалните услуги дава изключителна свобода и гъвкавост на общините като доставчици на услугите да определят най-подходящият за тях начин на организация, управление и предоставяне на услугите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самостоятелно или в комплекс от различни социални услуги, почасови, полудневни, целодневни, денонощни, съобразно потребностите и спецификите на общината.</w:t>
      </w:r>
    </w:p>
    <w:p>
      <w:pPr>
        <w:numPr>
          <w:ilvl w:val="0"/>
          <w:numId w:val="10886"/>
        </w:numPr>
        <w:spacing w:before="0" w:after="12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Всяка община е взела под внимание постигнатите договорености по време на проведените в областните администрации срещи за обсъждане и съгласуване между кметовете на общините в областта на социални и интегрирани здравно-социални услуги на общинско и областно ниво.</w:t>
      </w:r>
    </w:p>
    <w:p>
      <w:pPr>
        <w:keepNext w:val="true"/>
        <w:tabs>
          <w:tab w:val="left" w:pos="862" w:leader="none"/>
        </w:tabs>
        <w:spacing w:before="240" w:after="6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Демографска картина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на общините, информацията за населението по критериите съгласно Наредбата за планиране на социалните услуги в процеса на изготвяне на анализа са използвани следните източници: Национален статистически институт (НСИ) - отдел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Статистически данни“ и отдел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Статистически изследвания“ към териториалните статистически бази, информационна система ГРАО на общините, Национален осигурителен институт (НОИ), Агенция за хората с увреждания (АХУ), Регионални здравни инспекции (РЗИ), Дирекции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Социално подпомагане“ (ДСП), Регионални здравноосигурителни каси (РЗОК), от Дирекции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Бюро по труда“ (ДБТ), Местните комисии за борба срещу противообществените прояви на малолетни и непълнолетни (МКБППМН), кметове и кметски наместници, Регионални управления на образованието към Министерство на образованието и науката (РУО на МОН), училища, лечебни заведения, Държавните психиатрични болници (ДПБ), социални услуги, стратегически планове и др.</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31 декември 2022 г. Република България е разделена административно-териториално на 28 области и 265 общини. Освен това Столична община и градовете Пловдив и Варна са разделени административно-териториално на райони: Столична община - на 24 района, гр. Пловдив - на 6 района, гр. Варна - на 5 района.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таблицата са представени брой общини по области към 31.12.2022 година</w:t>
      </w:r>
    </w:p>
    <w:p>
      <w:pPr>
        <w:spacing w:before="0" w:after="120" w:line="240"/>
        <w:ind w:right="0" w:left="0" w:firstLine="0"/>
        <w:jc w:val="both"/>
        <w:rPr>
          <w:rFonts w:ascii="Times New Roman" w:hAnsi="Times New Roman" w:cs="Times New Roman" w:eastAsia="Times New Roman"/>
          <w:b/>
          <w:color w:val="auto"/>
          <w:spacing w:val="0"/>
          <w:position w:val="0"/>
          <w:sz w:val="24"/>
          <w:u w:val="single"/>
          <w:shd w:fill="auto" w:val="clear"/>
        </w:rPr>
      </w:pPr>
      <w:r>
        <w:object w:dxaOrig="8704" w:dyaOrig="3172">
          <v:rect xmlns:o="urn:schemas-microsoft-com:office:office" xmlns:v="urn:schemas-microsoft-com:vml" id="rectole0000000003" style="width:435.200000pt;height:158.600000pt" o:preferrelative="t" o:ole="">
            <o:lock v:ext="edit"/>
            <v:imagedata xmlns:r="http://schemas.openxmlformats.org/officeDocument/2006/relationships" r:id="docRId30" o:title=""/>
          </v:rect>
          <o:OLEObject xmlns:r="http://schemas.openxmlformats.org/officeDocument/2006/relationships" xmlns:o="urn:schemas-microsoft-com:office:office" Type="Embed" ProgID="StaticMetafile" DrawAspect="Content" ObjectID="0000000003" ShapeID="rectole0000000003" r:id="docRId29"/>
        </w:object>
      </w:r>
      <w:r>
        <w:rPr>
          <w:rFonts w:ascii="Times New Roman" w:hAnsi="Times New Roman" w:cs="Times New Roman" w:eastAsia="Times New Roman"/>
          <w:b/>
          <w:color w:val="auto"/>
          <w:spacing w:val="0"/>
          <w:position w:val="0"/>
          <w:sz w:val="24"/>
          <w:u w:val="single"/>
          <w:shd w:fill="auto" w:val="clear"/>
        </w:rPr>
        <w:t xml:space="preserve">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color w:val="auto"/>
          <w:spacing w:val="0"/>
          <w:position w:val="0"/>
          <w:sz w:val="24"/>
          <w:shd w:fill="auto" w:val="clear"/>
        </w:rPr>
        <w:t xml:space="preserve">По данни на НСИ общият брой на населението в страната към 31.12.2021 г. е 6 724576 жители. А по данни, посочени от общините при изготвянето на анализите, общият брой на населението в страната към същата дата е 7 066778 жители, с разлика от 342 202 лица. Разликата по области може да се проследи в таблицата. Единствено в областите София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град и Ямбол данните за броя на населението, подадени от двете области съвпадат с официалната статистика на НСИ, при останалите области подаденият брой население е в повече от данните на НСИ, с изключение на област Перник.</w:t>
      </w:r>
    </w:p>
    <w:tbl>
      <w:tblPr/>
      <w:tblGrid>
        <w:gridCol w:w="3020"/>
        <w:gridCol w:w="3021"/>
        <w:gridCol w:w="3019"/>
      </w:tblGrid>
      <w:tr>
        <w:trPr>
          <w:trHeight w:val="326" w:hRule="auto"/>
          <w:jc w:val="left"/>
        </w:trPr>
        <w:tc>
          <w:tcPr>
            <w:tcW w:w="3020"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Област</w:t>
            </w:r>
          </w:p>
        </w:tc>
        <w:tc>
          <w:tcPr>
            <w:tcW w:w="3021"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население (НСИ)</w:t>
            </w:r>
          </w:p>
        </w:tc>
        <w:tc>
          <w:tcPr>
            <w:tcW w:w="3019"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население (общини)</w:t>
            </w:r>
          </w:p>
        </w:tc>
      </w:tr>
      <w:tr>
        <w:trPr>
          <w:trHeight w:val="326" w:hRule="auto"/>
          <w:jc w:val="left"/>
        </w:trPr>
        <w:tc>
          <w:tcPr>
            <w:tcW w:w="3020"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ОБЩО:</w:t>
            </w:r>
          </w:p>
        </w:tc>
        <w:tc>
          <w:tcPr>
            <w:tcW w:w="3021"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6 724 576</w:t>
            </w:r>
          </w:p>
        </w:tc>
        <w:tc>
          <w:tcPr>
            <w:tcW w:w="3019"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7 066 778</w:t>
            </w:r>
          </w:p>
        </w:tc>
      </w:tr>
      <w:tr>
        <w:trPr>
          <w:trHeight w:val="240" w:hRule="auto"/>
          <w:jc w:val="left"/>
        </w:trPr>
        <w:tc>
          <w:tcPr>
            <w:tcW w:w="3020"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Благоевград</w:t>
            </w:r>
          </w:p>
        </w:tc>
        <w:tc>
          <w:tcPr>
            <w:tcW w:w="3021"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298 251</w:t>
            </w:r>
          </w:p>
        </w:tc>
        <w:tc>
          <w:tcPr>
            <w:tcW w:w="3019"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288 381</w:t>
            </w:r>
          </w:p>
        </w:tc>
      </w:tr>
      <w:tr>
        <w:trPr>
          <w:trHeight w:val="240" w:hRule="auto"/>
          <w:jc w:val="left"/>
        </w:trPr>
        <w:tc>
          <w:tcPr>
            <w:tcW w:w="3020"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Бургас</w:t>
            </w:r>
          </w:p>
        </w:tc>
        <w:tc>
          <w:tcPr>
            <w:tcW w:w="3021"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408 704</w:t>
            </w:r>
          </w:p>
        </w:tc>
        <w:tc>
          <w:tcPr>
            <w:tcW w:w="3019"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415 742</w:t>
            </w:r>
          </w:p>
        </w:tc>
      </w:tr>
      <w:tr>
        <w:trPr>
          <w:trHeight w:val="240" w:hRule="auto"/>
          <w:jc w:val="left"/>
        </w:trPr>
        <w:tc>
          <w:tcPr>
            <w:tcW w:w="3020"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Варна</w:t>
            </w:r>
          </w:p>
        </w:tc>
        <w:tc>
          <w:tcPr>
            <w:tcW w:w="3021"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468 614</w:t>
            </w:r>
          </w:p>
        </w:tc>
        <w:tc>
          <w:tcPr>
            <w:tcW w:w="3019"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451 310</w:t>
            </w:r>
          </w:p>
        </w:tc>
      </w:tr>
      <w:tr>
        <w:trPr>
          <w:trHeight w:val="241" w:hRule="auto"/>
          <w:jc w:val="left"/>
        </w:trPr>
        <w:tc>
          <w:tcPr>
            <w:tcW w:w="3020"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Велико Търново</w:t>
            </w:r>
          </w:p>
        </w:tc>
        <w:tc>
          <w:tcPr>
            <w:tcW w:w="3021"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225 674</w:t>
            </w:r>
          </w:p>
        </w:tc>
        <w:tc>
          <w:tcPr>
            <w:tcW w:w="3019"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241 587</w:t>
            </w:r>
          </w:p>
        </w:tc>
      </w:tr>
      <w:tr>
        <w:trPr>
          <w:trHeight w:val="240" w:hRule="auto"/>
          <w:jc w:val="left"/>
        </w:trPr>
        <w:tc>
          <w:tcPr>
            <w:tcW w:w="3020"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Видин</w:t>
            </w:r>
          </w:p>
        </w:tc>
        <w:tc>
          <w:tcPr>
            <w:tcW w:w="3021"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78 814</w:t>
            </w:r>
          </w:p>
        </w:tc>
        <w:tc>
          <w:tcPr>
            <w:tcW w:w="3019"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90 682</w:t>
            </w:r>
          </w:p>
        </w:tc>
      </w:tr>
      <w:tr>
        <w:trPr>
          <w:trHeight w:val="240" w:hRule="auto"/>
          <w:jc w:val="left"/>
        </w:trPr>
        <w:tc>
          <w:tcPr>
            <w:tcW w:w="3020"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Враца</w:t>
            </w:r>
          </w:p>
        </w:tc>
        <w:tc>
          <w:tcPr>
            <w:tcW w:w="3021"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153 700</w:t>
            </w:r>
          </w:p>
        </w:tc>
        <w:tc>
          <w:tcPr>
            <w:tcW w:w="3019"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159 637</w:t>
            </w:r>
          </w:p>
        </w:tc>
      </w:tr>
      <w:tr>
        <w:trPr>
          <w:trHeight w:val="240" w:hRule="auto"/>
          <w:jc w:val="left"/>
        </w:trPr>
        <w:tc>
          <w:tcPr>
            <w:tcW w:w="3020"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Габрово</w:t>
            </w:r>
          </w:p>
        </w:tc>
        <w:tc>
          <w:tcPr>
            <w:tcW w:w="3021"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103 404</w:t>
            </w:r>
          </w:p>
        </w:tc>
        <w:tc>
          <w:tcPr>
            <w:tcW w:w="3019"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105 361</w:t>
            </w:r>
          </w:p>
        </w:tc>
      </w:tr>
      <w:tr>
        <w:trPr>
          <w:trHeight w:val="240" w:hRule="auto"/>
          <w:jc w:val="left"/>
        </w:trPr>
        <w:tc>
          <w:tcPr>
            <w:tcW w:w="3020"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Добрич</w:t>
            </w:r>
          </w:p>
        </w:tc>
        <w:tc>
          <w:tcPr>
            <w:tcW w:w="3021"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167 314</w:t>
            </w:r>
          </w:p>
        </w:tc>
        <w:tc>
          <w:tcPr>
            <w:tcW w:w="3019"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175 906</w:t>
            </w:r>
          </w:p>
        </w:tc>
      </w:tr>
      <w:tr>
        <w:trPr>
          <w:trHeight w:val="240" w:hRule="auto"/>
          <w:jc w:val="left"/>
        </w:trPr>
        <w:tc>
          <w:tcPr>
            <w:tcW w:w="3020"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Кърджали</w:t>
            </w:r>
          </w:p>
        </w:tc>
        <w:tc>
          <w:tcPr>
            <w:tcW w:w="3021"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161 024</w:t>
            </w:r>
          </w:p>
        </w:tc>
        <w:tc>
          <w:tcPr>
            <w:tcW w:w="3019"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152 672</w:t>
            </w:r>
          </w:p>
        </w:tc>
      </w:tr>
      <w:tr>
        <w:trPr>
          <w:trHeight w:val="238" w:hRule="auto"/>
          <w:jc w:val="left"/>
        </w:trPr>
        <w:tc>
          <w:tcPr>
            <w:tcW w:w="3020"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Кюстендил</w:t>
            </w:r>
          </w:p>
        </w:tc>
        <w:tc>
          <w:tcPr>
            <w:tcW w:w="3021"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113 440</w:t>
            </w:r>
          </w:p>
        </w:tc>
        <w:tc>
          <w:tcPr>
            <w:tcW w:w="3019"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154 395</w:t>
            </w:r>
          </w:p>
        </w:tc>
      </w:tr>
      <w:tr>
        <w:trPr>
          <w:trHeight w:val="240" w:hRule="auto"/>
          <w:jc w:val="left"/>
        </w:trPr>
        <w:tc>
          <w:tcPr>
            <w:tcW w:w="3020"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Ловеч</w:t>
            </w:r>
          </w:p>
        </w:tc>
        <w:tc>
          <w:tcPr>
            <w:tcW w:w="3021"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119 780</w:t>
            </w:r>
          </w:p>
        </w:tc>
        <w:tc>
          <w:tcPr>
            <w:tcW w:w="3019"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128 264</w:t>
            </w:r>
          </w:p>
        </w:tc>
      </w:tr>
      <w:tr>
        <w:trPr>
          <w:trHeight w:val="240" w:hRule="auto"/>
          <w:jc w:val="left"/>
        </w:trPr>
        <w:tc>
          <w:tcPr>
            <w:tcW w:w="3020"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Монтана</w:t>
            </w:r>
          </w:p>
        </w:tc>
        <w:tc>
          <w:tcPr>
            <w:tcW w:w="3021"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122 179</w:t>
            </w:r>
          </w:p>
        </w:tc>
        <w:tc>
          <w:tcPr>
            <w:tcW w:w="3019"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142 658</w:t>
            </w:r>
          </w:p>
        </w:tc>
      </w:tr>
      <w:tr>
        <w:trPr>
          <w:trHeight w:val="240" w:hRule="auto"/>
          <w:jc w:val="left"/>
        </w:trPr>
        <w:tc>
          <w:tcPr>
            <w:tcW w:w="3020"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Пазарджик</w:t>
            </w:r>
          </w:p>
        </w:tc>
        <w:tc>
          <w:tcPr>
            <w:tcW w:w="3021"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247 360</w:t>
            </w:r>
          </w:p>
        </w:tc>
        <w:tc>
          <w:tcPr>
            <w:tcW w:w="3019"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259 316</w:t>
            </w:r>
          </w:p>
        </w:tc>
      </w:tr>
      <w:tr>
        <w:trPr>
          <w:trHeight w:val="240" w:hRule="auto"/>
          <w:jc w:val="left"/>
        </w:trPr>
        <w:tc>
          <w:tcPr>
            <w:tcW w:w="3020"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Перник</w:t>
            </w:r>
          </w:p>
        </w:tc>
        <w:tc>
          <w:tcPr>
            <w:tcW w:w="3021"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118 023</w:t>
            </w:r>
          </w:p>
        </w:tc>
        <w:tc>
          <w:tcPr>
            <w:tcW w:w="3019"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116 109</w:t>
            </w:r>
          </w:p>
        </w:tc>
      </w:tr>
      <w:tr>
        <w:trPr>
          <w:trHeight w:val="240" w:hRule="auto"/>
          <w:jc w:val="left"/>
        </w:trPr>
        <w:tc>
          <w:tcPr>
            <w:tcW w:w="3020"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Плевен</w:t>
            </w:r>
          </w:p>
        </w:tc>
        <w:tc>
          <w:tcPr>
            <w:tcW w:w="3021"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228 300</w:t>
            </w:r>
          </w:p>
        </w:tc>
        <w:tc>
          <w:tcPr>
            <w:tcW w:w="3019"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240 353</w:t>
            </w:r>
          </w:p>
        </w:tc>
      </w:tr>
      <w:tr>
        <w:trPr>
          <w:trHeight w:val="240" w:hRule="auto"/>
          <w:jc w:val="left"/>
        </w:trPr>
        <w:tc>
          <w:tcPr>
            <w:tcW w:w="3020"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Пловдив</w:t>
            </w:r>
          </w:p>
        </w:tc>
        <w:tc>
          <w:tcPr>
            <w:tcW w:w="3021"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662 907</w:t>
            </w:r>
          </w:p>
        </w:tc>
        <w:tc>
          <w:tcPr>
            <w:tcW w:w="3019"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701 048</w:t>
            </w:r>
          </w:p>
        </w:tc>
      </w:tr>
      <w:tr>
        <w:trPr>
          <w:trHeight w:val="240" w:hRule="auto"/>
          <w:jc w:val="left"/>
        </w:trPr>
        <w:tc>
          <w:tcPr>
            <w:tcW w:w="3020"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Разград</w:t>
            </w:r>
          </w:p>
        </w:tc>
        <w:tc>
          <w:tcPr>
            <w:tcW w:w="3021"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107 764</w:t>
            </w:r>
          </w:p>
        </w:tc>
        <w:tc>
          <w:tcPr>
            <w:tcW w:w="3019"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122 314</w:t>
            </w:r>
          </w:p>
        </w:tc>
      </w:tr>
      <w:tr>
        <w:trPr>
          <w:trHeight w:val="240" w:hRule="auto"/>
          <w:jc w:val="left"/>
        </w:trPr>
        <w:tc>
          <w:tcPr>
            <w:tcW w:w="3020"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Русе</w:t>
            </w:r>
          </w:p>
        </w:tc>
        <w:tc>
          <w:tcPr>
            <w:tcW w:w="3021"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209 084</w:t>
            </w:r>
          </w:p>
        </w:tc>
        <w:tc>
          <w:tcPr>
            <w:tcW w:w="3019"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217 297</w:t>
            </w:r>
          </w:p>
        </w:tc>
      </w:tr>
      <w:tr>
        <w:trPr>
          <w:trHeight w:val="240" w:hRule="auto"/>
          <w:jc w:val="left"/>
        </w:trPr>
        <w:tc>
          <w:tcPr>
            <w:tcW w:w="3020"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Силистра</w:t>
            </w:r>
          </w:p>
        </w:tc>
        <w:tc>
          <w:tcPr>
            <w:tcW w:w="3021"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104 869</w:t>
            </w:r>
          </w:p>
        </w:tc>
        <w:tc>
          <w:tcPr>
            <w:tcW w:w="3019"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117 810</w:t>
            </w:r>
          </w:p>
        </w:tc>
      </w:tr>
      <w:tr>
        <w:trPr>
          <w:trHeight w:val="240" w:hRule="auto"/>
          <w:jc w:val="left"/>
        </w:trPr>
        <w:tc>
          <w:tcPr>
            <w:tcW w:w="3020"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Сливен</w:t>
            </w:r>
          </w:p>
        </w:tc>
        <w:tc>
          <w:tcPr>
            <w:tcW w:w="3021"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180 058</w:t>
            </w:r>
          </w:p>
        </w:tc>
        <w:tc>
          <w:tcPr>
            <w:tcW w:w="3019"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186 036</w:t>
            </w:r>
          </w:p>
        </w:tc>
      </w:tr>
      <w:tr>
        <w:trPr>
          <w:trHeight w:val="240" w:hRule="auto"/>
          <w:jc w:val="left"/>
        </w:trPr>
        <w:tc>
          <w:tcPr>
            <w:tcW w:w="3020"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Смолян</w:t>
            </w:r>
          </w:p>
        </w:tc>
        <w:tc>
          <w:tcPr>
            <w:tcW w:w="3021"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99 318</w:t>
            </w:r>
          </w:p>
        </w:tc>
        <w:tc>
          <w:tcPr>
            <w:tcW w:w="3019"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102 788</w:t>
            </w:r>
          </w:p>
        </w:tc>
      </w:tr>
      <w:tr>
        <w:trPr>
          <w:trHeight w:val="238" w:hRule="auto"/>
          <w:jc w:val="left"/>
        </w:trPr>
        <w:tc>
          <w:tcPr>
            <w:tcW w:w="3020"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София -област</w:t>
            </w:r>
          </w:p>
        </w:tc>
        <w:tc>
          <w:tcPr>
            <w:tcW w:w="3021"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233 607</w:t>
            </w:r>
          </w:p>
        </w:tc>
        <w:tc>
          <w:tcPr>
            <w:tcW w:w="3019"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243 029</w:t>
            </w:r>
          </w:p>
        </w:tc>
      </w:tr>
      <w:tr>
        <w:trPr>
          <w:trHeight w:val="240" w:hRule="auto"/>
          <w:jc w:val="left"/>
        </w:trPr>
        <w:tc>
          <w:tcPr>
            <w:tcW w:w="3020"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София (столица)</w:t>
            </w:r>
          </w:p>
        </w:tc>
        <w:tc>
          <w:tcPr>
            <w:tcW w:w="3021"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1 307 439</w:t>
            </w:r>
          </w:p>
        </w:tc>
        <w:tc>
          <w:tcPr>
            <w:tcW w:w="3019"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1 307 439</w:t>
            </w:r>
          </w:p>
        </w:tc>
      </w:tr>
      <w:tr>
        <w:trPr>
          <w:trHeight w:val="240" w:hRule="auto"/>
          <w:jc w:val="left"/>
        </w:trPr>
        <w:tc>
          <w:tcPr>
            <w:tcW w:w="3020"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Стара Загора</w:t>
            </w:r>
          </w:p>
        </w:tc>
        <w:tc>
          <w:tcPr>
            <w:tcW w:w="3021"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307 140</w:t>
            </w:r>
          </w:p>
        </w:tc>
        <w:tc>
          <w:tcPr>
            <w:tcW w:w="3019"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323 202</w:t>
            </w:r>
          </w:p>
        </w:tc>
      </w:tr>
      <w:tr>
        <w:trPr>
          <w:trHeight w:val="240" w:hRule="auto"/>
          <w:jc w:val="left"/>
        </w:trPr>
        <w:tc>
          <w:tcPr>
            <w:tcW w:w="3020"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Търговище</w:t>
            </w:r>
          </w:p>
        </w:tc>
        <w:tc>
          <w:tcPr>
            <w:tcW w:w="3021"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108 117</w:t>
            </w:r>
          </w:p>
        </w:tc>
        <w:tc>
          <w:tcPr>
            <w:tcW w:w="3019"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112 920</w:t>
            </w:r>
          </w:p>
        </w:tc>
      </w:tr>
      <w:tr>
        <w:trPr>
          <w:trHeight w:val="240" w:hRule="auto"/>
          <w:jc w:val="left"/>
        </w:trPr>
        <w:tc>
          <w:tcPr>
            <w:tcW w:w="3020"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Хасково</w:t>
            </w:r>
          </w:p>
        </w:tc>
        <w:tc>
          <w:tcPr>
            <w:tcW w:w="3021"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220 269</w:t>
            </w:r>
          </w:p>
        </w:tc>
        <w:tc>
          <w:tcPr>
            <w:tcW w:w="3019"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224 441</w:t>
            </w:r>
          </w:p>
        </w:tc>
      </w:tr>
      <w:tr>
        <w:trPr>
          <w:trHeight w:val="240" w:hRule="auto"/>
          <w:jc w:val="left"/>
        </w:trPr>
        <w:tc>
          <w:tcPr>
            <w:tcW w:w="3020"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Шумен</w:t>
            </w:r>
          </w:p>
        </w:tc>
        <w:tc>
          <w:tcPr>
            <w:tcW w:w="3021"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169 423</w:t>
            </w:r>
          </w:p>
        </w:tc>
        <w:tc>
          <w:tcPr>
            <w:tcW w:w="3019"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171 720</w:t>
            </w:r>
          </w:p>
        </w:tc>
      </w:tr>
      <w:tr>
        <w:trPr>
          <w:trHeight w:val="250" w:hRule="auto"/>
          <w:jc w:val="left"/>
        </w:trPr>
        <w:tc>
          <w:tcPr>
            <w:tcW w:w="3020"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Ямбол</w:t>
            </w:r>
          </w:p>
        </w:tc>
        <w:tc>
          <w:tcPr>
            <w:tcW w:w="3021"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114 361</w:t>
            </w:r>
          </w:p>
        </w:tc>
        <w:tc>
          <w:tcPr>
            <w:tcW w:w="3019" w:type="dxa"/>
            <w:tcBorders>
              <w:top w:val="single" w:color="000000" w:sz="4"/>
              <w:left w:val="single" w:color="000000" w:sz="4"/>
              <w:bottom w:val="single" w:color="000000" w:sz="4"/>
              <w:right w:val="single" w:color="000000" w:sz="4"/>
            </w:tcBorders>
            <w:shd w:color="000000" w:fill="ffffff" w:val="clear"/>
            <w:tcMar>
              <w:left w:w="48" w:type="dxa"/>
              <w:right w:w="4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114 361</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Като основна причина за разминаването на данните, общините посочват различните официални източници, които са ползвали при попълването им, като са разглеждани няколко варианта, базирани на различията в данните предоставяни от статистиката на НСИ и служба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ГРАО“ и са използвани официалните данни с по-благоприятните цифри при критериите за определянето на потребностите от социалните услуги в Националната карта.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Най-голямата по брой на населението община в България е Столична. Освен нея още 8 общини в страната са с население над 100 000 души - Пловдив, Варна, Бургас, Русе, Стара Загора, Сливен, Плевен и Пазарджик. Най-голямата по брой на населението област в България е София Столична (1 307 439</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 следвана от област Пловдив (701 048), другите големи по брой население над 400 хиляди са областите Бургас и Варна. С най-малко жители е област Видин (90 682). Към края на 2021 г. от общо 265 общини в страната 133 от тях са с население под 10 000 души. Най-малката община в страната е Трекляно (област Кюстендил) с население 714 души, следвана от община Бойница (област Видин) с население 780 души.</w:t>
      </w:r>
    </w:p>
    <w:p>
      <w:pPr>
        <w:spacing w:before="0" w:after="12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Анализът на данните на демографското развитие за периода 2017 г.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2021 </w:t>
      </w:r>
      <w:r>
        <w:rPr>
          <w:rFonts w:ascii="Times New Roman" w:hAnsi="Times New Roman" w:cs="Times New Roman" w:eastAsia="Times New Roman"/>
          <w:color w:val="auto"/>
          <w:spacing w:val="0"/>
          <w:position w:val="0"/>
          <w:sz w:val="24"/>
          <w:shd w:fill="auto" w:val="clear"/>
        </w:rPr>
        <w:t xml:space="preserve">г. показва тенденция към намаление на броя на населението във всички общини. Отчита се ниска раждаемост с тенденция към намаление, висока смъртност и отрицателен естествен прираст. Прогресивно намалява относителния дял на лицата в трудоспособна възраст. В много голяма част от общините се отчита висок брой на хората с увреждания, както и на самотно живеещите стари хора от отдалечени и малки населени места, с невъзможност за самообслужване. Предизвикателство пред общините е и миграцията на населението в трудоспособна възраст към други европейски страни, което създава сериозни рискове за децата от тези семейства по отношение на пълноценната родителска грижа, образованието и развитието им. Процесът на обезлюдяване в страната е проблем, тъй като създава затруднения, свързани с функционирането на важни обекти на здравната, социалната и образователната инфраструктура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детски заведения, училища, здравни заведения за болнична и доболнична помощ, социални услуги и др.</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 данни на НСИ, към 31.12.2022 г., населението на Столична община е 1 307 439 човека или 19,1% от населението на страната. През 2017 г. този дял е 18,8%. Въпреки нарастването на дела на населението в общината от общото население на страната през 2021 г., то за целия период между 2017-2021 г., населението в Столична община намалява като брой с 1,4% или с близо 18 хил. души. Тези плавни темпове на намаляване на населението в Столична община са право пропорционални на намаляването на общото население за страната, но показват постоянстващата тенденция на запазване на висока концентрация на населението в Столицата (респективно Столична община).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някои малки общини Твърдица, Антон, Божурище, Елин Пелин и Костинброд се отчита увеличаване броя на населението, предимно дължащо се на повишаване равнището на раждаемостта, както и повишаване на механичния прираст.</w:t>
      </w:r>
    </w:p>
    <w:p>
      <w:pPr>
        <w:keepNext w:val="true"/>
        <w:tabs>
          <w:tab w:val="left" w:pos="862" w:leader="none"/>
        </w:tabs>
        <w:spacing w:before="240" w:after="6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Социални услуги</w:t>
      </w:r>
    </w:p>
    <w:p>
      <w:pPr>
        <w:tabs>
          <w:tab w:val="left" w:pos="720" w:leader="none"/>
        </w:tabs>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Съществуващи социални и интегрирани здравно-социални услуги и брой на техните потребители (общ и по видове услуги и групи потребители) за цялата страна по области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брои на социалните услуги на територията на страната е 1584 с 48424 потребители. Съотношението на социалните услуги за пълнолетни лица и деца е приблизително 57:43 на сто. Броят на социалните услуги за пълнолетни лица е 909, с 32302 потребители (в т.ч. Асистентска подкрепа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263 </w:t>
      </w:r>
      <w:r>
        <w:rPr>
          <w:rFonts w:ascii="Times New Roman" w:hAnsi="Times New Roman" w:cs="Times New Roman" w:eastAsia="Times New Roman"/>
          <w:color w:val="auto"/>
          <w:spacing w:val="0"/>
          <w:position w:val="0"/>
          <w:sz w:val="24"/>
          <w:shd w:fill="auto" w:val="clear"/>
        </w:rPr>
        <w:t xml:space="preserve">с 20231 субсидирани потребители). Социалните услуги за деца са 675 с 16122 потребители.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общините Минерални бани, Маджарово, Любимец, Хитрино, Никола Козлево, Каолиново, Върбица, Аврен, Белослав, Вълчи дол, Сухиндол, Ябланица, Криводол, Грамада и Макреш се предоставя единствено Асистентска подкрепа и потребителите са от съответната община.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графиките е показан делът на социалните услуги по видове в процентно съотношение, спрямо общия брой на социалните услуги. От графиките е видно, че на територията на страната преобладават услугите за резидентна грижа (ЦНСТ, ЗЖ, ПЖ, НЖ, КЦ, ЦВН, Приют) - 391 услуги за 4993 пълнолетни лица и 305 услуги за 3635 деца. Консултативни услуги (ДЦ, ЦСРИ, ЦОП, ЦРДУ) са с 21 по-малко като брои, но са с по-голям брой потребители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370 </w:t>
      </w:r>
      <w:r>
        <w:rPr>
          <w:rFonts w:ascii="Times New Roman" w:hAnsi="Times New Roman" w:cs="Times New Roman" w:eastAsia="Times New Roman"/>
          <w:color w:val="auto"/>
          <w:spacing w:val="0"/>
          <w:position w:val="0"/>
          <w:sz w:val="24"/>
          <w:shd w:fill="auto" w:val="clear"/>
        </w:rPr>
        <w:t xml:space="preserve">услуги за 12 487 потребители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деца и 255 услуги за 7078 пълнолетни лица. Асистентската подкрепа е услугата предоставяща грижа единствено в домашна среда, като броят на подкрепяните лица е 20231.</w:t>
      </w:r>
    </w:p>
    <w:p>
      <w:pPr>
        <w:spacing w:before="0" w:after="12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708"/>
        <w:jc w:val="both"/>
        <w:rPr>
          <w:rFonts w:ascii="Times New Roman" w:hAnsi="Times New Roman" w:cs="Times New Roman" w:eastAsia="Times New Roman"/>
          <w:b/>
          <w:color w:val="auto"/>
          <w:spacing w:val="0"/>
          <w:position w:val="0"/>
          <w:sz w:val="24"/>
          <w:u w:val="single"/>
          <w:shd w:fill="auto" w:val="clear"/>
        </w:rPr>
      </w:pPr>
    </w:p>
    <w:p>
      <w:pPr>
        <w:spacing w:before="0" w:after="120" w:line="240"/>
        <w:ind w:right="0" w:left="0" w:firstLine="708"/>
        <w:jc w:val="both"/>
        <w:rPr>
          <w:rFonts w:ascii="Times New Roman" w:hAnsi="Times New Roman" w:cs="Times New Roman" w:eastAsia="Times New Roman"/>
          <w:b/>
          <w:color w:val="auto"/>
          <w:spacing w:val="0"/>
          <w:position w:val="0"/>
          <w:sz w:val="24"/>
          <w:u w:val="single"/>
          <w:shd w:fill="auto" w:val="clear"/>
        </w:rPr>
      </w:pPr>
    </w:p>
    <w:p>
      <w:pPr>
        <w:spacing w:before="0" w:after="12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708"/>
        <w:jc w:val="both"/>
        <w:rPr>
          <w:rFonts w:ascii="Times New Roman" w:hAnsi="Times New Roman" w:cs="Times New Roman" w:eastAsia="Times New Roman"/>
          <w:b/>
          <w:color w:val="auto"/>
          <w:spacing w:val="0"/>
          <w:position w:val="0"/>
          <w:sz w:val="24"/>
          <w:u w:val="single"/>
          <w:shd w:fill="auto" w:val="clear"/>
        </w:rPr>
      </w:pPr>
    </w:p>
    <w:p>
      <w:pPr>
        <w:spacing w:before="0" w:after="12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708"/>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фигурата по-долу са представени в графичен вид съществуващите социални услуги по видове и броят на потребителите в тях.  Както се вижда най-голям брой нуждаещи се лица се подкрепят чрез услугите Асистентска подкрепа, Център за обществена подкрепа и Център за социална рехабилитация и интеграция, с най- малък капацитет са услугите Наблюдавано, Преходно и Защитено жилище, както и Приюти.</w:t>
      </w:r>
    </w:p>
    <w:p>
      <w:pPr>
        <w:spacing w:before="0" w:after="120" w:line="240"/>
        <w:ind w:right="0" w:left="0" w:firstLine="708"/>
        <w:jc w:val="both"/>
        <w:rPr>
          <w:rFonts w:ascii="Times New Roman" w:hAnsi="Times New Roman" w:cs="Times New Roman" w:eastAsia="Times New Roman"/>
          <w:i/>
          <w:color w:val="auto"/>
          <w:spacing w:val="0"/>
          <w:position w:val="0"/>
          <w:sz w:val="24"/>
          <w:shd w:fill="auto" w:val="clear"/>
        </w:rPr>
      </w:pPr>
    </w:p>
    <w:p>
      <w:pPr>
        <w:spacing w:before="0" w:after="120" w:line="240"/>
        <w:ind w:right="0" w:left="0" w:firstLine="708"/>
        <w:jc w:val="both"/>
        <w:rPr>
          <w:rFonts w:ascii="Times New Roman" w:hAnsi="Times New Roman" w:cs="Times New Roman" w:eastAsia="Times New Roman"/>
          <w:i/>
          <w:color w:val="auto"/>
          <w:spacing w:val="0"/>
          <w:position w:val="0"/>
          <w:sz w:val="24"/>
          <w:shd w:fill="auto" w:val="clear"/>
        </w:rPr>
      </w:pPr>
    </w:p>
    <w:p>
      <w:pPr>
        <w:tabs>
          <w:tab w:val="left" w:pos="720" w:leader="none"/>
        </w:tabs>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Брой на желаещите да ползват социални и интегрирани здравно- социални услуги на територията на страната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от общините общо 8432 лица са включени в списъците на чакащите за ползване на социални услуги, разпределени по области са, както следва:</w:t>
      </w:r>
    </w:p>
    <w:p>
      <w:pPr>
        <w:spacing w:before="0" w:after="120" w:line="240"/>
        <w:ind w:right="0" w:left="0" w:firstLine="708"/>
        <w:jc w:val="both"/>
        <w:rPr>
          <w:rFonts w:ascii="Times New Roman" w:hAnsi="Times New Roman" w:cs="Times New Roman" w:eastAsia="Times New Roman"/>
          <w:color w:val="auto"/>
          <w:spacing w:val="0"/>
          <w:position w:val="0"/>
          <w:sz w:val="24"/>
          <w:shd w:fill="auto" w:val="clear"/>
        </w:rPr>
      </w:pPr>
    </w:p>
    <w:tbl>
      <w:tblPr/>
      <w:tblGrid>
        <w:gridCol w:w="4530"/>
        <w:gridCol w:w="4530"/>
      </w:tblGrid>
      <w:tr>
        <w:trPr>
          <w:trHeight w:val="312" w:hRule="auto"/>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Област </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лица, желаещи да ползват СУ</w:t>
            </w:r>
          </w:p>
        </w:tc>
      </w:tr>
      <w:tr>
        <w:trPr>
          <w:trHeight w:val="312" w:hRule="auto"/>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Благоевград</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400</w:t>
            </w:r>
          </w:p>
        </w:tc>
      </w:tr>
      <w:tr>
        <w:trPr>
          <w:trHeight w:val="312" w:hRule="auto"/>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Бургас</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657</w:t>
            </w:r>
          </w:p>
        </w:tc>
      </w:tr>
      <w:tr>
        <w:trPr>
          <w:trHeight w:val="312" w:hRule="auto"/>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Варна</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387</w:t>
            </w:r>
          </w:p>
        </w:tc>
      </w:tr>
      <w:tr>
        <w:trPr>
          <w:trHeight w:val="312" w:hRule="auto"/>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Велико Търново</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207</w:t>
            </w:r>
          </w:p>
        </w:tc>
      </w:tr>
      <w:tr>
        <w:trPr>
          <w:trHeight w:val="312" w:hRule="auto"/>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Видин</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477</w:t>
            </w:r>
          </w:p>
        </w:tc>
      </w:tr>
      <w:tr>
        <w:trPr>
          <w:trHeight w:val="312" w:hRule="auto"/>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Враца</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348</w:t>
            </w:r>
          </w:p>
        </w:tc>
      </w:tr>
      <w:tr>
        <w:trPr>
          <w:trHeight w:val="312" w:hRule="auto"/>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Габрово</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38</w:t>
            </w:r>
          </w:p>
        </w:tc>
      </w:tr>
      <w:tr>
        <w:trPr>
          <w:trHeight w:val="312" w:hRule="auto"/>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Добрич</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345</w:t>
            </w:r>
          </w:p>
        </w:tc>
      </w:tr>
      <w:tr>
        <w:trPr>
          <w:trHeight w:val="312" w:hRule="auto"/>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Кърджали</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204</w:t>
            </w:r>
          </w:p>
        </w:tc>
      </w:tr>
      <w:tr>
        <w:trPr>
          <w:trHeight w:val="312" w:hRule="auto"/>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Кюстендил</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420</w:t>
            </w:r>
          </w:p>
        </w:tc>
      </w:tr>
      <w:tr>
        <w:trPr>
          <w:trHeight w:val="312" w:hRule="auto"/>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Ловеч</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342</w:t>
            </w:r>
          </w:p>
        </w:tc>
      </w:tr>
      <w:tr>
        <w:trPr>
          <w:trHeight w:val="312" w:hRule="auto"/>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Монтана</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783</w:t>
            </w:r>
          </w:p>
        </w:tc>
      </w:tr>
      <w:tr>
        <w:trPr>
          <w:trHeight w:val="312" w:hRule="auto"/>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Пазарджик</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74</w:t>
            </w:r>
          </w:p>
        </w:tc>
      </w:tr>
      <w:tr>
        <w:trPr>
          <w:trHeight w:val="312" w:hRule="auto"/>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Перник</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w:t>
            </w:r>
          </w:p>
        </w:tc>
      </w:tr>
      <w:tr>
        <w:trPr>
          <w:trHeight w:val="312" w:hRule="auto"/>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Плевен</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646</w:t>
            </w:r>
          </w:p>
        </w:tc>
      </w:tr>
      <w:tr>
        <w:trPr>
          <w:trHeight w:val="312" w:hRule="auto"/>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Пловдив</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79</w:t>
            </w:r>
          </w:p>
        </w:tc>
      </w:tr>
      <w:tr>
        <w:trPr>
          <w:trHeight w:val="312" w:hRule="auto"/>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Разград</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331</w:t>
            </w:r>
          </w:p>
        </w:tc>
      </w:tr>
      <w:tr>
        <w:trPr>
          <w:trHeight w:val="312" w:hRule="auto"/>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Русе</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432</w:t>
            </w:r>
          </w:p>
        </w:tc>
      </w:tr>
      <w:tr>
        <w:trPr>
          <w:trHeight w:val="312" w:hRule="auto"/>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Силистра</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204</w:t>
            </w:r>
          </w:p>
        </w:tc>
      </w:tr>
      <w:tr>
        <w:trPr>
          <w:trHeight w:val="312" w:hRule="auto"/>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Сливен</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115</w:t>
            </w:r>
          </w:p>
        </w:tc>
      </w:tr>
      <w:tr>
        <w:trPr>
          <w:trHeight w:val="312" w:hRule="auto"/>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Смолян</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195</w:t>
            </w:r>
          </w:p>
        </w:tc>
      </w:tr>
      <w:tr>
        <w:trPr>
          <w:trHeight w:val="312" w:hRule="auto"/>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Софийска</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83</w:t>
            </w:r>
          </w:p>
        </w:tc>
      </w:tr>
      <w:tr>
        <w:trPr>
          <w:trHeight w:val="312" w:hRule="auto"/>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София</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436</w:t>
            </w:r>
          </w:p>
        </w:tc>
      </w:tr>
      <w:tr>
        <w:trPr>
          <w:trHeight w:val="312" w:hRule="auto"/>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Стара Загора</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254</w:t>
            </w:r>
          </w:p>
        </w:tc>
      </w:tr>
      <w:tr>
        <w:trPr>
          <w:trHeight w:val="312" w:hRule="auto"/>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Търговище</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138</w:t>
            </w:r>
          </w:p>
        </w:tc>
      </w:tr>
      <w:tr>
        <w:trPr>
          <w:trHeight w:val="312" w:hRule="auto"/>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Хасково</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123</w:t>
            </w:r>
          </w:p>
        </w:tc>
      </w:tr>
      <w:tr>
        <w:trPr>
          <w:trHeight w:val="312" w:hRule="auto"/>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Шумен</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433</w:t>
            </w:r>
          </w:p>
        </w:tc>
      </w:tr>
      <w:tr>
        <w:trPr>
          <w:trHeight w:val="312" w:hRule="auto"/>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Ямбол</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262</w:t>
            </w:r>
          </w:p>
        </w:tc>
      </w:tr>
      <w:tr>
        <w:trPr>
          <w:trHeight w:val="288" w:hRule="auto"/>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ОБЩО</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8432</w:t>
            </w:r>
          </w:p>
        </w:tc>
      </w:tr>
    </w:tbl>
    <w:p>
      <w:pPr>
        <w:tabs>
          <w:tab w:val="left" w:pos="720" w:leader="none"/>
        </w:tabs>
        <w:spacing w:before="0" w:after="120" w:line="240"/>
        <w:ind w:right="0" w:left="0" w:firstLine="0"/>
        <w:jc w:val="both"/>
        <w:rPr>
          <w:rFonts w:ascii="Times New Roman" w:hAnsi="Times New Roman" w:cs="Times New Roman" w:eastAsia="Times New Roman"/>
          <w:b/>
          <w:color w:val="auto"/>
          <w:spacing w:val="0"/>
          <w:position w:val="0"/>
          <w:sz w:val="24"/>
          <w:shd w:fill="auto" w:val="clear"/>
        </w:rPr>
      </w:pPr>
    </w:p>
    <w:p>
      <w:pPr>
        <w:tabs>
          <w:tab w:val="left" w:pos="720" w:leader="none"/>
        </w:tabs>
        <w:spacing w:before="0" w:after="12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относно броя на лицата, които ползват социални и интегрирани здравно-социални услуги, различна от общината по настоящ адрес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данни от анализите на общините общо 8320 са лицата потребителите на социални и интегрирани здравно-социални услуги, различни от общината по настоящ адрес и са разпределени по области, както следва:</w:t>
      </w:r>
    </w:p>
    <w:tbl>
      <w:tblPr/>
      <w:tblGrid>
        <w:gridCol w:w="4195"/>
        <w:gridCol w:w="4865"/>
      </w:tblGrid>
      <w:tr>
        <w:trPr>
          <w:trHeight w:val="312" w:hRule="auto"/>
          <w:jc w:val="left"/>
        </w:trPr>
        <w:tc>
          <w:tcPr>
            <w:tcW w:w="41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Област </w:t>
            </w:r>
          </w:p>
        </w:tc>
        <w:tc>
          <w:tcPr>
            <w:tcW w:w="48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3131" w:leader="none"/>
              </w:tabs>
              <w:spacing w:before="0" w:after="12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Брой лица, ползващи СУ от други общини</w:t>
            </w:r>
          </w:p>
        </w:tc>
      </w:tr>
      <w:tr>
        <w:trPr>
          <w:trHeight w:val="312" w:hRule="auto"/>
          <w:jc w:val="left"/>
        </w:trPr>
        <w:tc>
          <w:tcPr>
            <w:tcW w:w="41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Благоевград</w:t>
            </w:r>
          </w:p>
        </w:tc>
        <w:tc>
          <w:tcPr>
            <w:tcW w:w="48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720</w:t>
            </w:r>
          </w:p>
        </w:tc>
      </w:tr>
      <w:tr>
        <w:trPr>
          <w:trHeight w:val="312" w:hRule="auto"/>
          <w:jc w:val="left"/>
        </w:trPr>
        <w:tc>
          <w:tcPr>
            <w:tcW w:w="41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Бургас</w:t>
            </w:r>
          </w:p>
        </w:tc>
        <w:tc>
          <w:tcPr>
            <w:tcW w:w="48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467</w:t>
            </w:r>
          </w:p>
        </w:tc>
      </w:tr>
      <w:tr>
        <w:trPr>
          <w:trHeight w:val="312" w:hRule="auto"/>
          <w:jc w:val="left"/>
        </w:trPr>
        <w:tc>
          <w:tcPr>
            <w:tcW w:w="41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Варна</w:t>
            </w:r>
          </w:p>
        </w:tc>
        <w:tc>
          <w:tcPr>
            <w:tcW w:w="48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145</w:t>
            </w:r>
          </w:p>
        </w:tc>
      </w:tr>
      <w:tr>
        <w:trPr>
          <w:trHeight w:val="312" w:hRule="auto"/>
          <w:jc w:val="left"/>
        </w:trPr>
        <w:tc>
          <w:tcPr>
            <w:tcW w:w="41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Велико Търново</w:t>
            </w:r>
          </w:p>
        </w:tc>
        <w:tc>
          <w:tcPr>
            <w:tcW w:w="48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391</w:t>
            </w:r>
          </w:p>
        </w:tc>
      </w:tr>
      <w:tr>
        <w:trPr>
          <w:trHeight w:val="312" w:hRule="auto"/>
          <w:jc w:val="left"/>
        </w:trPr>
        <w:tc>
          <w:tcPr>
            <w:tcW w:w="41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Видин</w:t>
            </w:r>
          </w:p>
        </w:tc>
        <w:tc>
          <w:tcPr>
            <w:tcW w:w="48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265</w:t>
            </w:r>
          </w:p>
        </w:tc>
      </w:tr>
      <w:tr>
        <w:trPr>
          <w:trHeight w:val="312" w:hRule="auto"/>
          <w:jc w:val="left"/>
        </w:trPr>
        <w:tc>
          <w:tcPr>
            <w:tcW w:w="41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Враца</w:t>
            </w:r>
          </w:p>
        </w:tc>
        <w:tc>
          <w:tcPr>
            <w:tcW w:w="48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406</w:t>
            </w:r>
          </w:p>
        </w:tc>
      </w:tr>
      <w:tr>
        <w:trPr>
          <w:trHeight w:val="312" w:hRule="auto"/>
          <w:jc w:val="left"/>
        </w:trPr>
        <w:tc>
          <w:tcPr>
            <w:tcW w:w="41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Габрово</w:t>
            </w:r>
          </w:p>
        </w:tc>
        <w:tc>
          <w:tcPr>
            <w:tcW w:w="48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136</w:t>
            </w:r>
          </w:p>
        </w:tc>
      </w:tr>
      <w:tr>
        <w:trPr>
          <w:trHeight w:val="312" w:hRule="auto"/>
          <w:jc w:val="left"/>
        </w:trPr>
        <w:tc>
          <w:tcPr>
            <w:tcW w:w="41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Добрич</w:t>
            </w:r>
          </w:p>
        </w:tc>
        <w:tc>
          <w:tcPr>
            <w:tcW w:w="48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321</w:t>
            </w:r>
          </w:p>
        </w:tc>
      </w:tr>
      <w:tr>
        <w:trPr>
          <w:trHeight w:val="312" w:hRule="auto"/>
          <w:jc w:val="left"/>
        </w:trPr>
        <w:tc>
          <w:tcPr>
            <w:tcW w:w="41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Кърджали</w:t>
            </w:r>
          </w:p>
        </w:tc>
        <w:tc>
          <w:tcPr>
            <w:tcW w:w="48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166</w:t>
            </w:r>
          </w:p>
        </w:tc>
      </w:tr>
      <w:tr>
        <w:trPr>
          <w:trHeight w:val="312" w:hRule="auto"/>
          <w:jc w:val="left"/>
        </w:trPr>
        <w:tc>
          <w:tcPr>
            <w:tcW w:w="41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Кюстендил</w:t>
            </w:r>
          </w:p>
        </w:tc>
        <w:tc>
          <w:tcPr>
            <w:tcW w:w="48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163</w:t>
            </w:r>
          </w:p>
        </w:tc>
      </w:tr>
      <w:tr>
        <w:trPr>
          <w:trHeight w:val="312" w:hRule="auto"/>
          <w:jc w:val="left"/>
        </w:trPr>
        <w:tc>
          <w:tcPr>
            <w:tcW w:w="41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Ловеч</w:t>
            </w:r>
          </w:p>
        </w:tc>
        <w:tc>
          <w:tcPr>
            <w:tcW w:w="48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193</w:t>
            </w:r>
          </w:p>
        </w:tc>
      </w:tr>
      <w:tr>
        <w:trPr>
          <w:trHeight w:val="312" w:hRule="auto"/>
          <w:jc w:val="left"/>
        </w:trPr>
        <w:tc>
          <w:tcPr>
            <w:tcW w:w="41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Монтана</w:t>
            </w:r>
          </w:p>
        </w:tc>
        <w:tc>
          <w:tcPr>
            <w:tcW w:w="48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661</w:t>
            </w:r>
          </w:p>
        </w:tc>
      </w:tr>
      <w:tr>
        <w:trPr>
          <w:trHeight w:val="312" w:hRule="auto"/>
          <w:jc w:val="left"/>
        </w:trPr>
        <w:tc>
          <w:tcPr>
            <w:tcW w:w="41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Пазарджик</w:t>
            </w:r>
          </w:p>
        </w:tc>
        <w:tc>
          <w:tcPr>
            <w:tcW w:w="48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293</w:t>
            </w:r>
          </w:p>
        </w:tc>
      </w:tr>
      <w:tr>
        <w:trPr>
          <w:trHeight w:val="312" w:hRule="auto"/>
          <w:jc w:val="left"/>
        </w:trPr>
        <w:tc>
          <w:tcPr>
            <w:tcW w:w="41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Перник</w:t>
            </w:r>
          </w:p>
        </w:tc>
        <w:tc>
          <w:tcPr>
            <w:tcW w:w="48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215</w:t>
            </w:r>
          </w:p>
        </w:tc>
      </w:tr>
      <w:tr>
        <w:trPr>
          <w:trHeight w:val="312" w:hRule="auto"/>
          <w:jc w:val="left"/>
        </w:trPr>
        <w:tc>
          <w:tcPr>
            <w:tcW w:w="41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Плевен</w:t>
            </w:r>
          </w:p>
        </w:tc>
        <w:tc>
          <w:tcPr>
            <w:tcW w:w="48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367</w:t>
            </w:r>
          </w:p>
        </w:tc>
      </w:tr>
      <w:tr>
        <w:trPr>
          <w:trHeight w:val="312" w:hRule="auto"/>
          <w:jc w:val="left"/>
        </w:trPr>
        <w:tc>
          <w:tcPr>
            <w:tcW w:w="41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Пловдив</w:t>
            </w:r>
          </w:p>
        </w:tc>
        <w:tc>
          <w:tcPr>
            <w:tcW w:w="48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682</w:t>
            </w:r>
          </w:p>
        </w:tc>
      </w:tr>
      <w:tr>
        <w:trPr>
          <w:trHeight w:val="312" w:hRule="auto"/>
          <w:jc w:val="left"/>
        </w:trPr>
        <w:tc>
          <w:tcPr>
            <w:tcW w:w="41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Разград</w:t>
            </w:r>
          </w:p>
        </w:tc>
        <w:tc>
          <w:tcPr>
            <w:tcW w:w="48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174</w:t>
            </w:r>
          </w:p>
        </w:tc>
      </w:tr>
      <w:tr>
        <w:trPr>
          <w:trHeight w:val="312" w:hRule="auto"/>
          <w:jc w:val="left"/>
        </w:trPr>
        <w:tc>
          <w:tcPr>
            <w:tcW w:w="41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Русе</w:t>
            </w:r>
          </w:p>
        </w:tc>
        <w:tc>
          <w:tcPr>
            <w:tcW w:w="48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232</w:t>
            </w:r>
          </w:p>
        </w:tc>
      </w:tr>
      <w:tr>
        <w:trPr>
          <w:trHeight w:val="312" w:hRule="auto"/>
          <w:jc w:val="left"/>
        </w:trPr>
        <w:tc>
          <w:tcPr>
            <w:tcW w:w="41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Силистра</w:t>
            </w:r>
          </w:p>
        </w:tc>
        <w:tc>
          <w:tcPr>
            <w:tcW w:w="48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255</w:t>
            </w:r>
          </w:p>
        </w:tc>
      </w:tr>
      <w:tr>
        <w:trPr>
          <w:trHeight w:val="312" w:hRule="auto"/>
          <w:jc w:val="left"/>
        </w:trPr>
        <w:tc>
          <w:tcPr>
            <w:tcW w:w="41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Сливен</w:t>
            </w:r>
          </w:p>
        </w:tc>
        <w:tc>
          <w:tcPr>
            <w:tcW w:w="48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80</w:t>
            </w:r>
          </w:p>
        </w:tc>
      </w:tr>
      <w:tr>
        <w:trPr>
          <w:trHeight w:val="312" w:hRule="auto"/>
          <w:jc w:val="left"/>
        </w:trPr>
        <w:tc>
          <w:tcPr>
            <w:tcW w:w="41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Смолян</w:t>
            </w:r>
          </w:p>
        </w:tc>
        <w:tc>
          <w:tcPr>
            <w:tcW w:w="48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95</w:t>
            </w:r>
          </w:p>
        </w:tc>
      </w:tr>
      <w:tr>
        <w:trPr>
          <w:trHeight w:val="312" w:hRule="auto"/>
          <w:jc w:val="left"/>
        </w:trPr>
        <w:tc>
          <w:tcPr>
            <w:tcW w:w="41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Софийска</w:t>
            </w:r>
          </w:p>
        </w:tc>
        <w:tc>
          <w:tcPr>
            <w:tcW w:w="48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306</w:t>
            </w:r>
          </w:p>
        </w:tc>
      </w:tr>
      <w:tr>
        <w:trPr>
          <w:trHeight w:val="312" w:hRule="auto"/>
          <w:jc w:val="left"/>
        </w:trPr>
        <w:tc>
          <w:tcPr>
            <w:tcW w:w="41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София</w:t>
            </w:r>
          </w:p>
        </w:tc>
        <w:tc>
          <w:tcPr>
            <w:tcW w:w="48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230</w:t>
            </w:r>
          </w:p>
        </w:tc>
      </w:tr>
      <w:tr>
        <w:trPr>
          <w:trHeight w:val="312" w:hRule="auto"/>
          <w:jc w:val="left"/>
        </w:trPr>
        <w:tc>
          <w:tcPr>
            <w:tcW w:w="41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Стара Загора</w:t>
            </w:r>
          </w:p>
        </w:tc>
        <w:tc>
          <w:tcPr>
            <w:tcW w:w="48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267</w:t>
            </w:r>
          </w:p>
        </w:tc>
      </w:tr>
      <w:tr>
        <w:trPr>
          <w:trHeight w:val="312" w:hRule="auto"/>
          <w:jc w:val="left"/>
        </w:trPr>
        <w:tc>
          <w:tcPr>
            <w:tcW w:w="41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Търговище</w:t>
            </w:r>
          </w:p>
        </w:tc>
        <w:tc>
          <w:tcPr>
            <w:tcW w:w="48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138</w:t>
            </w:r>
          </w:p>
        </w:tc>
      </w:tr>
      <w:tr>
        <w:trPr>
          <w:trHeight w:val="312" w:hRule="auto"/>
          <w:jc w:val="left"/>
        </w:trPr>
        <w:tc>
          <w:tcPr>
            <w:tcW w:w="41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Хасково</w:t>
            </w:r>
          </w:p>
        </w:tc>
        <w:tc>
          <w:tcPr>
            <w:tcW w:w="48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196</w:t>
            </w:r>
          </w:p>
        </w:tc>
      </w:tr>
      <w:tr>
        <w:trPr>
          <w:trHeight w:val="312" w:hRule="auto"/>
          <w:jc w:val="left"/>
        </w:trPr>
        <w:tc>
          <w:tcPr>
            <w:tcW w:w="41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Шумен</w:t>
            </w:r>
          </w:p>
        </w:tc>
        <w:tc>
          <w:tcPr>
            <w:tcW w:w="48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394</w:t>
            </w:r>
          </w:p>
        </w:tc>
      </w:tr>
      <w:tr>
        <w:trPr>
          <w:trHeight w:val="312" w:hRule="auto"/>
          <w:jc w:val="left"/>
        </w:trPr>
        <w:tc>
          <w:tcPr>
            <w:tcW w:w="41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Ямбол</w:t>
            </w:r>
          </w:p>
        </w:tc>
        <w:tc>
          <w:tcPr>
            <w:tcW w:w="48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362</w:t>
            </w:r>
          </w:p>
        </w:tc>
      </w:tr>
      <w:tr>
        <w:trPr>
          <w:trHeight w:val="288" w:hRule="auto"/>
          <w:jc w:val="left"/>
        </w:trPr>
        <w:tc>
          <w:tcPr>
            <w:tcW w:w="41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ОБЩО</w:t>
            </w:r>
          </w:p>
        </w:tc>
        <w:tc>
          <w:tcPr>
            <w:tcW w:w="48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8320</w:t>
            </w:r>
          </w:p>
        </w:tc>
      </w:tr>
    </w:tbl>
    <w:p>
      <w:pPr>
        <w:keepNext w:val="true"/>
        <w:tabs>
          <w:tab w:val="left" w:pos="862" w:leader="none"/>
        </w:tabs>
        <w:spacing w:before="240" w:after="6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Приемна  грижа и Домове за медико социални грижи за деца </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Предвид факта, че Приемната грижа не е социална услуга по смисъла на ЗСУ, то и общините не са включили в общинските анализи дейностите. Приемната грижа и ДМСГД не са обект на анализ от страна на общините, тъй като не са в обхвата на услугите по ЗСУ, но във връзка с процеса на деинституционализация на деца и изпълнението на Националната стратегия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Визия за деинституционализация на децата в Република България“, същите са разгледани на национално ниво, с оглед включването им в предложението на Картата необходимите социални услуги. </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Приемна грижа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изпълнение на Националната стратегия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Визия за деинституционализация на децата в Република България“ от страна на АСП се изпълнява Проект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Приеми ме 2015“, финансиран по Оперативна програма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Развитие на човешките ресурси“. Дейностите по проекта се осъществяват на областно ниво, чрез Областен модел на планиране, управление и предоставяне на дейностите в подкрепа на приемната грижа и засилване на ролята на доставчиците на социални услуги и общините в процеса, тъй като те не само извършват набиране и оценяване на кандидати за приемни семейства, но съвместно с ДСП извършват и наблюдение и подкрепа на приемните семейства. В рамките на проекта са създадени и функционират 28 областни екипи по приемна грижа, изпълняващи дейностите по набиране, обучение и подкрепа на приемните родители.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регистрите, водени от Регионалните дирекции за социално подпомагане към 12.09.2023 г. са вписани 1810 приемни семейства, разпределени по области, както следва:</w:t>
      </w:r>
    </w:p>
    <w:tbl>
      <w:tblPr/>
      <w:tblGrid>
        <w:gridCol w:w="4530"/>
        <w:gridCol w:w="4530"/>
      </w:tblGrid>
      <w:tr>
        <w:trPr>
          <w:trHeight w:val="577" w:hRule="auto"/>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               </w:t>
            </w:r>
            <w:r>
              <w:rPr>
                <w:rFonts w:ascii="Times New Roman" w:hAnsi="Times New Roman" w:cs="Times New Roman" w:eastAsia="Times New Roman"/>
                <w:b/>
                <w:color w:val="auto"/>
                <w:spacing w:val="0"/>
                <w:position w:val="0"/>
                <w:sz w:val="20"/>
                <w:shd w:fill="auto" w:val="clear"/>
              </w:rPr>
              <w:t xml:space="preserve">Област </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Общ брой приемни семейства, вписани в регистрите на областно ниво</w:t>
            </w:r>
          </w:p>
        </w:tc>
      </w:tr>
      <w:tr>
        <w:trPr>
          <w:trHeight w:val="1" w:hRule="atLeast"/>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БЛАГОЕВГРАД</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66</w:t>
            </w:r>
          </w:p>
        </w:tc>
      </w:tr>
      <w:tr>
        <w:trPr>
          <w:trHeight w:val="1" w:hRule="atLeast"/>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БУРГАС</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55</w:t>
            </w:r>
          </w:p>
        </w:tc>
      </w:tr>
      <w:tr>
        <w:trPr>
          <w:trHeight w:val="301" w:hRule="auto"/>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ВАРНА</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123</w:t>
            </w:r>
          </w:p>
        </w:tc>
      </w:tr>
      <w:tr>
        <w:trPr>
          <w:trHeight w:val="1" w:hRule="atLeast"/>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ВЕЛИКО ТЪРНОВО</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87</w:t>
            </w:r>
          </w:p>
        </w:tc>
      </w:tr>
      <w:tr>
        <w:trPr>
          <w:trHeight w:val="1" w:hRule="atLeast"/>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ВИДИН</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83</w:t>
            </w:r>
          </w:p>
        </w:tc>
      </w:tr>
      <w:tr>
        <w:trPr>
          <w:trHeight w:val="1" w:hRule="atLeast"/>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ВРАЦА</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70</w:t>
            </w:r>
          </w:p>
        </w:tc>
      </w:tr>
      <w:tr>
        <w:trPr>
          <w:trHeight w:val="1" w:hRule="atLeast"/>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ГАБРОВО</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50</w:t>
            </w:r>
          </w:p>
        </w:tc>
      </w:tr>
      <w:tr>
        <w:trPr>
          <w:trHeight w:val="1" w:hRule="atLeast"/>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ДОБРИЧ</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56</w:t>
            </w:r>
          </w:p>
        </w:tc>
      </w:tr>
      <w:tr>
        <w:trPr>
          <w:trHeight w:val="1" w:hRule="atLeast"/>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КЪРДЖАЛИ</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w:t>
            </w:r>
          </w:p>
        </w:tc>
      </w:tr>
      <w:tr>
        <w:trPr>
          <w:trHeight w:val="1" w:hRule="atLeast"/>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КЮСТЕНДИЛ</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46</w:t>
            </w:r>
          </w:p>
        </w:tc>
      </w:tr>
      <w:tr>
        <w:trPr>
          <w:trHeight w:val="1" w:hRule="atLeast"/>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ЛОВЕЧ</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41</w:t>
            </w:r>
          </w:p>
        </w:tc>
      </w:tr>
      <w:tr>
        <w:trPr>
          <w:trHeight w:val="1" w:hRule="atLeast"/>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МОНТАНА</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104</w:t>
            </w:r>
          </w:p>
        </w:tc>
      </w:tr>
      <w:tr>
        <w:trPr>
          <w:trHeight w:val="1" w:hRule="atLeast"/>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ПАЗАРДЖИК</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97</w:t>
            </w:r>
          </w:p>
        </w:tc>
      </w:tr>
      <w:tr>
        <w:trPr>
          <w:trHeight w:val="1" w:hRule="atLeast"/>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ПЕРНИК</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44</w:t>
            </w:r>
          </w:p>
        </w:tc>
      </w:tr>
      <w:tr>
        <w:trPr>
          <w:trHeight w:val="1" w:hRule="atLeast"/>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ПЛЕВЕН</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132</w:t>
            </w:r>
          </w:p>
        </w:tc>
      </w:tr>
      <w:tr>
        <w:trPr>
          <w:trHeight w:val="1" w:hRule="atLeast"/>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ПЛОВДИВ</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90</w:t>
            </w:r>
          </w:p>
        </w:tc>
      </w:tr>
      <w:tr>
        <w:trPr>
          <w:trHeight w:val="1" w:hRule="atLeast"/>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РАЗГРАД</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63</w:t>
            </w:r>
          </w:p>
        </w:tc>
      </w:tr>
      <w:tr>
        <w:trPr>
          <w:trHeight w:val="1" w:hRule="atLeast"/>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РУСЕ</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46</w:t>
            </w:r>
          </w:p>
        </w:tc>
      </w:tr>
      <w:tr>
        <w:trPr>
          <w:trHeight w:val="1" w:hRule="atLeast"/>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СИЛИСТРА</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r>
      <w:tr>
        <w:trPr>
          <w:trHeight w:val="1" w:hRule="atLeast"/>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СЛИВЕН</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r>
      <w:tr>
        <w:trPr>
          <w:trHeight w:val="1" w:hRule="atLeast"/>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СМОЛЯН</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53</w:t>
            </w:r>
          </w:p>
        </w:tc>
      </w:tr>
      <w:tr>
        <w:trPr>
          <w:trHeight w:val="1" w:hRule="atLeast"/>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СОФИЯ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ГРАД</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34</w:t>
            </w:r>
          </w:p>
        </w:tc>
      </w:tr>
      <w:tr>
        <w:trPr>
          <w:trHeight w:val="227" w:hRule="auto"/>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СОФИЯ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ОБЛАСТ</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27</w:t>
            </w:r>
          </w:p>
        </w:tc>
      </w:tr>
      <w:tr>
        <w:trPr>
          <w:trHeight w:val="1" w:hRule="atLeast"/>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СТАРА ЗАГОРА</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51</w:t>
            </w:r>
          </w:p>
        </w:tc>
      </w:tr>
      <w:tr>
        <w:trPr>
          <w:trHeight w:val="1" w:hRule="atLeast"/>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ТЪРГОВИЩЕ</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65</w:t>
            </w:r>
          </w:p>
        </w:tc>
      </w:tr>
      <w:tr>
        <w:trPr>
          <w:trHeight w:val="1" w:hRule="atLeast"/>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ХАСКОВО</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112</w:t>
            </w:r>
          </w:p>
        </w:tc>
      </w:tr>
      <w:tr>
        <w:trPr>
          <w:trHeight w:val="1" w:hRule="atLeast"/>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ШУМЕН </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115</w:t>
            </w:r>
          </w:p>
        </w:tc>
      </w:tr>
      <w:tr>
        <w:trPr>
          <w:trHeight w:val="1" w:hRule="atLeast"/>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ЯМБОЛ</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w:t>
            </w:r>
          </w:p>
        </w:tc>
      </w:tr>
      <w:tr>
        <w:trPr>
          <w:trHeight w:val="1" w:hRule="atLeast"/>
          <w:jc w:val="left"/>
        </w:trPr>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ОБЩО</w:t>
            </w:r>
          </w:p>
        </w:tc>
        <w:tc>
          <w:tcPr>
            <w:tcW w:w="45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708"/>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1 810</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Домове за медико социални грижи за деца</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ДМСГД не да обект на анализ от страна на общините, тъй като са в системата на здравеопазването, но във връзка с процеса на деинституционализация и предстоящото им закриване в областите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Варна, Плевен, Стара Загора и Кърджали, в АСП е налична информация: </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31.08.2023 година настанените деца в ДМСГД са:</w:t>
      </w:r>
    </w:p>
    <w:p>
      <w:pPr>
        <w:numPr>
          <w:ilvl w:val="0"/>
          <w:numId w:val="11230"/>
        </w:numPr>
        <w:spacing w:before="0" w:after="6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ДМСГД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Стара Загора. Общ брой настанени деца - 69, от тях 47 деца, оценени като нуждаещи се от постоянна медицинска грижа.</w:t>
      </w:r>
    </w:p>
    <w:p>
      <w:pPr>
        <w:numPr>
          <w:ilvl w:val="0"/>
          <w:numId w:val="11230"/>
        </w:numPr>
        <w:spacing w:before="0" w:after="6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ДМСГД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Плевен. Общ брой настанени деца - 50, от тях 36 деца, оценени като нуждаещи се от постоянна медицинска грижа;</w:t>
      </w:r>
    </w:p>
    <w:p>
      <w:pPr>
        <w:numPr>
          <w:ilvl w:val="0"/>
          <w:numId w:val="11230"/>
        </w:numPr>
        <w:spacing w:before="0" w:after="6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ДМСГД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Кърджали. Общ брой настанени деца - 31, от тях 16 деца, оценени като нуждаещи се от постоянна медицинска грижа</w:t>
      </w:r>
    </w:p>
    <w:p>
      <w:pPr>
        <w:numPr>
          <w:ilvl w:val="0"/>
          <w:numId w:val="11230"/>
        </w:numPr>
        <w:spacing w:before="0" w:after="6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ДМСГД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Варна. Общ брой настанени деца - 50, от тях 29 деца, оценени като нуждаещи се от постоянна медицинска грижа.</w:t>
      </w:r>
    </w:p>
    <w:p>
      <w:pPr>
        <w:keepNext w:val="true"/>
        <w:tabs>
          <w:tab w:val="left" w:pos="862" w:leader="none"/>
        </w:tabs>
        <w:spacing w:before="240" w:after="6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Персонал в социалните услуги</w:t>
      </w:r>
    </w:p>
    <w:p>
      <w:pPr>
        <w:spacing w:before="0" w:after="6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Информация и прогноза за необходимите служители за извършване на дейностите по предоставяне на социални и интегрирани здравно-социални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Осигуряването на квалифициран човешки ресурс за управление и за предоставяне на социални услуги е необходимо както за осъществяване на адекватна подкрепа на потребителите, така и за гарантирането на качество на услугите. Социалните услуги на територията на страната, в по-голямата си част са обезпечени с необходимите служители за осъществяване на дейностите. Важно е да се отбележи, че се очертава недостиг не само на квалифицирани специалисти: медицински сестри, трудотерапевти, социални работници, педагози, а и на служители за длъжностите - шофьор, общ работник, санитари, готвач. Текучеството на персонал в социалните услуги е в резултат от една страна на назначаване на медицински персонал в пенсионна възраст, а друга квалифицираните кадри се ориентират в сферата на образованието поради по-високите възнаграждения.</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Въпреки трудностите като цяло социалните услуги са обезпечени с необходимите служители. Изключение се наблюдава в община Георги Дамяново, както и община Антоново, която не е наела необходимия персонал за осигуряване на добра грижа за потребителите на услугите В някои от общините се налага назначаване на специалисти почасово на граждански договори поради липсата на такива кадри на пазара на труда.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Има обаче общини където няма необходимите служители, поради липса на квалифицирани такива. А в анализа си община Поморие е отразила липса на финансови средства за назначаване на служители на пълен работен ден, като тяхната заетост към момента е на половин работен ден.</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Общините са използвали различни възможности за наемане на необходимите служители за извършване на дейностите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специалисти се търсят както в Дирекции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Бюра по труда“, така и на свободния пазар, като на работа се наемат и пенсионери. Назначени са и служители, които пътуват от други общини в областта. Проблем се явява и наемането на социални работници с висше образование, поради което в част от социалните услуги са наети сътрудници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социална работа, със средно образование, а 90% от медицинските специалисти работещи в социалните услуги са в пенсионна възраст. На база на предоставената от общините информация за заетостта на служителите в социалните услуги, се очертава тенденция за недостиг основно на медицински специалисти.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Важно е да се отбележи, че в социалните услуги е налице тенденция за увеличаване на средната възраст на работещите и липса на млади специалисти, желаещи да се развиват в социалната сфера.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Въпреки предизвикателствата, услугите функционират оптимално съобразно определените минимални изисквания за стандартите за качество на социалните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Общините Братя Даскалови, Гълъбово, Опан, Болярово, Тунджа, Ямбол, Котел, Сливен,</w:t>
      </w:r>
      <w:r>
        <w:rPr>
          <w:rFonts w:ascii="Times New Roman" w:hAnsi="Times New Roman" w:cs="Times New Roman" w:eastAsia="Times New Roman"/>
          <w:i/>
          <w:color w:val="auto"/>
          <w:spacing w:val="0"/>
          <w:position w:val="0"/>
          <w:sz w:val="24"/>
          <w:u w:val="single"/>
          <w:shd w:fill="auto" w:val="clear"/>
        </w:rPr>
        <w:t xml:space="preserve"> </w:t>
      </w:r>
      <w:r>
        <w:rPr>
          <w:rFonts w:ascii="Times New Roman" w:hAnsi="Times New Roman" w:cs="Times New Roman" w:eastAsia="Times New Roman"/>
          <w:color w:val="auto"/>
          <w:spacing w:val="0"/>
          <w:position w:val="0"/>
          <w:sz w:val="24"/>
          <w:shd w:fill="auto" w:val="clear"/>
        </w:rPr>
        <w:t xml:space="preserve">Бургас, Карнобат, Малко Търново, Созопол, Сунгурларе, Царево, Бойчиновци, Вълчедръм, Монтана, Якимово, Белене, Гулянци, Кнежа, Плевен и др. не са извели прогнозна потребност за необходимия им персонал за функциониране на социалните услуги след трансформирането на съществуващите социални услуги и декомпозирането им по дейности, съгласно чл.15 от Закон за социалните услуги, както и въз основа на определените минимални изисквания в стандартите за качество на социалните услуги, касаещи броя и квалификацията на необходимите служители.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Следва да се отчете подхода на община Враца за осигуряване на някои от нужните за развитието на социалните услуги в общината кадри - изградено е добро партньорство с ВТУ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Св. Св. Кирил и Методий”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филиал Враца, като е осигурено стажуване и практическо обучение на студенти от специалностите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Социални дейности” 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Социална педагогика” във всички социални услуги на територията на общината. Но на територията на друга област въпреки съвместните усилия на Община Русе и Технически университет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Ангел Кънчев“, където се обучават студенти по специалност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Социални дейности“, младите специалисти не са мотивирани за работа в социалните услуги и мобилна работа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на терен“.</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Интересен е подхода на община Кула за осигуряване на някои от нужните за развитието на социалните услуги в общината кадри - в бюджета на общината е предвиден фонд за осигуряване на стипендии на студенти, които след завършването си биха работили на територията на общината. </w:t>
      </w:r>
    </w:p>
    <w:p>
      <w:pPr>
        <w:keepNext w:val="true"/>
        <w:numPr>
          <w:ilvl w:val="0"/>
          <w:numId w:val="11234"/>
        </w:numPr>
        <w:tabs>
          <w:tab w:val="left" w:pos="718" w:leader="none"/>
          <w:tab w:val="left" w:pos="576" w:leader="none"/>
        </w:tabs>
        <w:spacing w:before="360" w:after="120" w:line="240"/>
        <w:ind w:right="0" w:left="576" w:hanging="576"/>
        <w:jc w:val="both"/>
        <w:rPr>
          <w:rFonts w:ascii="Times New Roman" w:hAnsi="Times New Roman" w:cs="Times New Roman" w:eastAsia="Times New Roman"/>
          <w:b/>
          <w:color w:val="003366"/>
          <w:spacing w:val="0"/>
          <w:position w:val="0"/>
          <w:sz w:val="28"/>
          <w:shd w:fill="auto" w:val="clear"/>
        </w:rPr>
      </w:pPr>
      <w:r>
        <w:rPr>
          <w:rFonts w:ascii="Times New Roman" w:hAnsi="Times New Roman" w:cs="Times New Roman" w:eastAsia="Times New Roman"/>
          <w:b/>
          <w:color w:val="003366"/>
          <w:spacing w:val="0"/>
          <w:position w:val="0"/>
          <w:sz w:val="28"/>
          <w:shd w:fill="auto" w:val="clear"/>
        </w:rPr>
        <w:t xml:space="preserve">Изводи от анализа по области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са ключов фактор за ефективно социално включване и участие в живота на обществото на всички групи лица, които имат необходимост от подкрепа.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Общините са изправени пред предизвикателството да променят и усъвършенстват системата на социални услуги, които се предоставят на територията им с оглед по-голяма гъвкавост, активно включване на потребителите, разработване на иновативни модели на социални услуги и повишаване на качеството на съществуващите, с акцент върху постигнатия резултат. Осигуряването на равен достъп до услуги на всички нуждаещи се чрез планиране на социални услуги, съгласно реалните потребности и нужди и равномерно разпределение на социалните услуги на територията на областта са съществена част от политиките на областната и общинските администрации. Тази форма на подкрепа подпомага и разширява възможностите на лицата да водят самостоятелен начин на живот и са насочени към подкрепа на подпомаганите лица за осъществяване на ежедневните им дейности.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Във основа на направения анализ на състоянието на социалните услуги на територията на областите в страната и очерталите се тенденции, могат да се направят следните изводи:</w:t>
      </w:r>
    </w:p>
    <w:p>
      <w:pPr>
        <w:spacing w:before="0" w:after="120" w:line="240"/>
        <w:ind w:right="0" w:left="0" w:firstLine="708"/>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Видин</w:t>
      </w:r>
    </w:p>
    <w:p>
      <w:pPr>
        <w:numPr>
          <w:ilvl w:val="0"/>
          <w:numId w:val="11237"/>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има голям брой социални услуги за резидентна грижа за пълнолетни лица, но броят им е недостатъчен за задоволяване на потребностите на жителите на областта;</w:t>
      </w:r>
    </w:p>
    <w:p>
      <w:pPr>
        <w:numPr>
          <w:ilvl w:val="0"/>
          <w:numId w:val="11237"/>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Недостатъчен е броят на услугите за дневна и почасова грижа и подкрепа за пълнолетни лица и е планирано създаване на нови социални услуги;</w:t>
      </w:r>
    </w:p>
    <w:p>
      <w:pPr>
        <w:numPr>
          <w:ilvl w:val="0"/>
          <w:numId w:val="11237"/>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 се възприема ролята на социалните услуги като дейности, насочени към социално включване и стимулиране за водене на независим начин на живот;</w:t>
      </w:r>
    </w:p>
    <w:p>
      <w:pPr>
        <w:numPr>
          <w:ilvl w:val="0"/>
          <w:numId w:val="11237"/>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няма интегрирани здравно-социални услуги за деца и пълнолетни лица, общините в областта са договорили и планирали разкриването на социални услуги за задоволяване на потребностите на населението от ИЗСУ и социални услуги за осигуряване на подслон;</w:t>
      </w:r>
    </w:p>
    <w:p>
      <w:pPr>
        <w:numPr>
          <w:ilvl w:val="0"/>
          <w:numId w:val="11237"/>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Осигуряването на равен достъп до услуги на всички нуждаещи се чрез планиране на социални услуги, съгласно реалните потребности и нужди и равномерно разпределение на социалните услуги на територията на област Видин са съществена част от политиките на областната и общинските администрации и всички общини в областта са поели конкретни ангажименти с оглед запазване на съществуващите към момента социални услуги, увеличаване на броя на потребителите или планирано създаване на нови социални услуги.</w:t>
      </w:r>
    </w:p>
    <w:p>
      <w:pPr>
        <w:spacing w:before="0" w:after="120" w:line="240"/>
        <w:ind w:right="0" w:left="0" w:firstLine="708"/>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Враца</w:t>
      </w:r>
    </w:p>
    <w:p>
      <w:pPr>
        <w:numPr>
          <w:ilvl w:val="0"/>
          <w:numId w:val="11239"/>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има голям брой социални услуги за резидентна грижа и грижа в домашна среда;</w:t>
      </w:r>
    </w:p>
    <w:p>
      <w:pPr>
        <w:numPr>
          <w:ilvl w:val="0"/>
          <w:numId w:val="11239"/>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Броят на услугите за превенция, терапия и дневна грижа е изключително малък, като услуги се предоставят само в 5 от общините в областта;</w:t>
      </w:r>
    </w:p>
    <w:p>
      <w:pPr>
        <w:numPr>
          <w:ilvl w:val="0"/>
          <w:numId w:val="11239"/>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няма интегрирани здравно-социални услуги за деца и пълнолетни лица;</w:t>
      </w:r>
    </w:p>
    <w:p>
      <w:pPr>
        <w:numPr>
          <w:ilvl w:val="0"/>
          <w:numId w:val="11239"/>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Предвид ключовото значение на социалните услуги за качеството на живот на населението, предоставянето на разнообразни и качествени социални услуги, съобразени с потребностите на хората, е изключително важен и значим приоритет в провежданите политики на местно ниво.</w:t>
      </w:r>
    </w:p>
    <w:p>
      <w:pPr>
        <w:spacing w:before="0" w:after="120" w:line="240"/>
        <w:ind w:right="0" w:left="0" w:firstLine="708"/>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Ловеч:</w:t>
      </w:r>
    </w:p>
    <w:p>
      <w:pPr>
        <w:numPr>
          <w:ilvl w:val="0"/>
          <w:numId w:val="11241"/>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във всички общини се предоставят социални услуги за грижа в домашна среда;</w:t>
      </w:r>
    </w:p>
    <w:p>
      <w:pPr>
        <w:numPr>
          <w:ilvl w:val="0"/>
          <w:numId w:val="11241"/>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Преобладават социалните услуги за пълнолетни лица, но се отчита потребност за създаване на нови услуги, която потребност не е планирана от общините да бъде задоволена в цялост, особено внимание следва да се обърне на социалната услуга Дневна грижа за пълнолетни лица с увреждания;</w:t>
      </w:r>
    </w:p>
    <w:p>
      <w:pPr>
        <w:numPr>
          <w:ilvl w:val="0"/>
          <w:numId w:val="11241"/>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има развита мрежа от консултативни социални услуги (ЦОП, ДЦ, ЦСРИ);</w:t>
      </w:r>
    </w:p>
    <w:p>
      <w:pPr>
        <w:numPr>
          <w:ilvl w:val="0"/>
          <w:numId w:val="11241"/>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няма интегрирани здравно-социални услуги за деца и пълнолетни лица - не се планира разкриване на нови интегрирани здравно социални услуги за деца с потребност от постоянна медицинска грижа, въпреки изведената потребност. Частично е планирано да бъдет задоволени потребностите от нови ИЗСУ за пълнолетни лица с потребност от постоянна медицинска грижа и в невъзможност за самообслужване;</w:t>
      </w:r>
    </w:p>
    <w:p>
      <w:pPr>
        <w:numPr>
          <w:ilvl w:val="0"/>
          <w:numId w:val="11241"/>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Нито една от общините в област Ловеч не е поела ангажимент за разкриване на социални услуги за осигуряване на подслон на бременни жени и майки с деца до 3години, осигуряване на подслон за пълнолетни лица, пострадали от домашно насилие и лица жертви на трафик и осигуряване на подслон за лица в кризисна ситуация.</w:t>
      </w:r>
    </w:p>
    <w:p>
      <w:pPr>
        <w:spacing w:before="0" w:after="120" w:line="240"/>
        <w:ind w:right="0" w:left="0" w:firstLine="708"/>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Монтана</w:t>
      </w:r>
    </w:p>
    <w:p>
      <w:pPr>
        <w:numPr>
          <w:ilvl w:val="0"/>
          <w:numId w:val="11243"/>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има голям брой социални услуги за резидентна грижа за пълнолетни лица, но броят им е недостатъчен за задоволяване на потребностите на жителите на областта;</w:t>
      </w:r>
    </w:p>
    <w:p>
      <w:pPr>
        <w:numPr>
          <w:ilvl w:val="0"/>
          <w:numId w:val="11243"/>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Недостатъчен е броят на услугите за дневна и почасова грижа и подкрепа;</w:t>
      </w:r>
    </w:p>
    <w:p>
      <w:pPr>
        <w:numPr>
          <w:ilvl w:val="0"/>
          <w:numId w:val="11243"/>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 се възприема ролята на социалните услуги като дейности, насочени към социално включване и стимулиране за водене на независим начин на живот;</w:t>
      </w:r>
    </w:p>
    <w:p>
      <w:pPr>
        <w:numPr>
          <w:ilvl w:val="0"/>
          <w:numId w:val="11243"/>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няма интегрирани здравно-социални услуги за деца и пълнолетни лица;</w:t>
      </w:r>
    </w:p>
    <w:p>
      <w:pPr>
        <w:spacing w:before="0" w:after="120" w:line="240"/>
        <w:ind w:right="0" w:left="0" w:firstLine="708"/>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Плевен</w:t>
      </w:r>
    </w:p>
    <w:p>
      <w:pPr>
        <w:numPr>
          <w:ilvl w:val="0"/>
          <w:numId w:val="11245"/>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има голям брой социални услуги за резидентна грижа за пълнолетни лица, но броят им е недостатъчен за задоволяване на потребностите на жителите на областта;</w:t>
      </w:r>
    </w:p>
    <w:p>
      <w:pPr>
        <w:numPr>
          <w:ilvl w:val="0"/>
          <w:numId w:val="11245"/>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Недостатъчен е броят на услугите за дневна и почасова грижа и подкрепа за деца и пълнолетни лица;</w:t>
      </w:r>
    </w:p>
    <w:p>
      <w:pPr>
        <w:numPr>
          <w:ilvl w:val="0"/>
          <w:numId w:val="11245"/>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Налице е потребност от социални услуги, насочени към подкрепа на деца и техните родители;</w:t>
      </w:r>
    </w:p>
    <w:p>
      <w:pPr>
        <w:numPr>
          <w:ilvl w:val="0"/>
          <w:numId w:val="11245"/>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Налице е потребност от социални услуги, насочени към подкрепа на деца с увреждания, ранна интервенция на уврежданията и подкрепа на техните семейства;</w:t>
      </w:r>
    </w:p>
    <w:p>
      <w:pPr>
        <w:numPr>
          <w:ilvl w:val="0"/>
          <w:numId w:val="11245"/>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съществуват интегрирани здравно-социални услуги за деца и пълнолетни лица, но капацитета им е недостатъчен за задоволяване на потребностите;</w:t>
      </w:r>
    </w:p>
    <w:p>
      <w:pPr>
        <w:numPr>
          <w:ilvl w:val="0"/>
          <w:numId w:val="11245"/>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 Плевен не функционират социални услуги, за които е изчерпана необходимостта от предоставяне;</w:t>
      </w:r>
    </w:p>
    <w:p>
      <w:pPr>
        <w:numPr>
          <w:ilvl w:val="0"/>
          <w:numId w:val="11245"/>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 е установена потребност от намаление на капацитета на социалните услуги;</w:t>
      </w:r>
    </w:p>
    <w:p>
      <w:pPr>
        <w:numPr>
          <w:ilvl w:val="0"/>
          <w:numId w:val="11245"/>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 Плевен се планира закриване на действащите социални услуги, като същите се трансформират в други подходящи социални услуги, които да удовлетворяват потребностите;</w:t>
      </w:r>
    </w:p>
    <w:p>
      <w:pPr>
        <w:numPr>
          <w:ilvl w:val="0"/>
          <w:numId w:val="11245"/>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изготвения обобщен анализ за област Плевен, впечатление прави, че във връзка с деинституционализацията на деца, предстои закриване на специализираната институция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ДМСГД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Плевен. Община Плевен не е предвидила създаването на здравно-социални услуги за резидентна грижа за деца с трайни увреждания с потребност от постоянни медицински грижи. На територията на общината функционират 5 социални услуги резидентен тип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ЦНСТДБУ с капацитет 68 потребители, на част от тях би могло да се промени профила на социалната услуга;</w:t>
      </w:r>
    </w:p>
    <w:p>
      <w:pPr>
        <w:spacing w:before="0" w:after="120" w:line="240"/>
        <w:ind w:right="0" w:left="0" w:firstLine="708"/>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Велико Търново</w:t>
      </w:r>
    </w:p>
    <w:p>
      <w:pPr>
        <w:numPr>
          <w:ilvl w:val="0"/>
          <w:numId w:val="11247"/>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Съществуващите на територията на областта социални услуги за резидентна грижа за пълнолетни лица са недостатъчни за задоволяване на потребностите на жителите на областта;</w:t>
      </w:r>
    </w:p>
    <w:p>
      <w:pPr>
        <w:numPr>
          <w:ilvl w:val="0"/>
          <w:numId w:val="11247"/>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Недостатъчен е броят на услугите за дневна и почасова грижа и подкрепа;</w:t>
      </w:r>
    </w:p>
    <w:p>
      <w:pPr>
        <w:numPr>
          <w:ilvl w:val="0"/>
          <w:numId w:val="11247"/>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 се възприема ролята на социалните услуги като дейности, насочени към социално включване и стимулиране за водене на независим начин на живот;</w:t>
      </w:r>
    </w:p>
    <w:p>
      <w:pPr>
        <w:numPr>
          <w:ilvl w:val="0"/>
          <w:numId w:val="11247"/>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няма интегрирани здравно-социални услуги за деца и пълнолетни лица;</w:t>
      </w:r>
    </w:p>
    <w:p>
      <w:pPr>
        <w:numPr>
          <w:ilvl w:val="0"/>
          <w:numId w:val="11247"/>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Осигуряването на равен достъп до услуги на всички нуждаещи се чрез планиране на социални услуги, съгласно реалните потребности и нужди и равномерно разпределение на социалните услуги на територията на област Велико Търново са съществена част от политиките на областната и общинските администрации. </w:t>
      </w:r>
    </w:p>
    <w:p>
      <w:pPr>
        <w:numPr>
          <w:ilvl w:val="0"/>
          <w:numId w:val="11247"/>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с трайни увреждания на територията на областта е близо 22 хиляди, от друга страна потребността от различни резидентни услуги за лица с трайни увреждания, предимно пълнолетни с психични разстройства, интелектуални затруднения, физически увреждания, както и лица в надтрудоспособна възраст е доста висока. Предвид това действията на общините следва да са насочени в посока увеличаване на броя на местата в съществуващите услуги или създаване на нови. Общините на територията на областта не предлагат действия, съответстващи на потребностите на населението в областта и в унисон с гореизложеното.</w:t>
      </w:r>
    </w:p>
    <w:p>
      <w:pPr>
        <w:numPr>
          <w:ilvl w:val="0"/>
          <w:numId w:val="11247"/>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има голяма потребност от съществуващите интегрирани здравно-социални услуги, особено от ИЗСУ-РГВХНСППМГ. Планирано е създаването на нови такива, за да могат лицата, които имат необходимост от постоянни медицински грижи да получат нужната подкрепа за удовлетворяване на специфичните им потребности в съответните услуги.</w:t>
      </w:r>
    </w:p>
    <w:p>
      <w:pPr>
        <w:spacing w:before="0" w:after="120" w:line="240"/>
        <w:ind w:right="0" w:left="0" w:firstLine="708"/>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Габрово</w:t>
      </w:r>
    </w:p>
    <w:p>
      <w:pPr>
        <w:numPr>
          <w:ilvl w:val="0"/>
          <w:numId w:val="11249"/>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Броят на консултативните социални услуги за децата и лицата с увреждания е по-голям в сравнение с услуги за резидентна грижа за деца и пълнолетните лица с увреждания. Независимо от големия брой социални услуги за резидентна грижа за пълнолетни лица с увреждания, той е недостатъчен за задоволяване на потребностите на жителите на областта, тъй като в по-голяма част се ползват от потребители от цялата страна.</w:t>
      </w:r>
    </w:p>
    <w:p>
      <w:pPr>
        <w:numPr>
          <w:ilvl w:val="0"/>
          <w:numId w:val="11249"/>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Предвид изведените потребности от страна на общините са направени предложения за създаване на нови социални услуги и интегрирани здравно-социални услуги за деца и пълнолетни лица с увреждания.</w:t>
      </w:r>
    </w:p>
    <w:p>
      <w:pPr>
        <w:numPr>
          <w:ilvl w:val="0"/>
          <w:numId w:val="11249"/>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община Габрово се предоставя една интегрирана здравно-социална услуга за резидентна грижа за деца и младежи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Център за настаняване от семеен тип за деца/младежи с увреждания с потребност от постоянни медицински грижи“, с капацитет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8 </w:t>
      </w:r>
      <w:r>
        <w:rPr>
          <w:rFonts w:ascii="Times New Roman" w:hAnsi="Times New Roman" w:cs="Times New Roman" w:eastAsia="Times New Roman"/>
          <w:color w:val="auto"/>
          <w:spacing w:val="0"/>
          <w:position w:val="0"/>
          <w:sz w:val="24"/>
          <w:shd w:fill="auto" w:val="clear"/>
        </w:rPr>
        <w:t xml:space="preserve">места и се ползва от потребители от цялата страна. Същата е планирана като социална услуга на областно ниво, за което следва да се сключи споразумение, съгл. чл. 56 от ЗСУ с другите общини в областта.</w:t>
      </w:r>
    </w:p>
    <w:p>
      <w:pPr>
        <w:numPr>
          <w:ilvl w:val="0"/>
          <w:numId w:val="11249"/>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Броят на желаещите за ползване на социалната услуга за резидентна грижа за пълнолетни лица с психични разстройства е най-голям в сравнение с броя на желаещите за ползване на другите услуги, съответно е необходимо да се създадат нови услуги за резидентна грижа за горепосочената целева група.</w:t>
      </w:r>
    </w:p>
    <w:p>
      <w:pPr>
        <w:spacing w:before="0" w:after="120" w:line="240"/>
        <w:ind w:right="0" w:left="0" w:firstLine="708"/>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Разград:</w:t>
      </w:r>
    </w:p>
    <w:p>
      <w:pPr>
        <w:numPr>
          <w:ilvl w:val="0"/>
          <w:numId w:val="11251"/>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има голям брой социални услуги за резидентна грижа за пълнолетни лица, но броят им е недостатъчен за задоволяване на потребностите на пълнолетните лица с ментални увреждания;</w:t>
      </w:r>
    </w:p>
    <w:p>
      <w:pPr>
        <w:numPr>
          <w:ilvl w:val="0"/>
          <w:numId w:val="11251"/>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Недостатъчен е броят на социалните услуги, които се предоставят в домашна среда;</w:t>
      </w:r>
    </w:p>
    <w:p>
      <w:pPr>
        <w:numPr>
          <w:ilvl w:val="0"/>
          <w:numId w:val="11251"/>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няма интегрирани здравно-социални услуги за деца и пълнолетни лица;</w:t>
      </w:r>
    </w:p>
    <w:p>
      <w:pPr>
        <w:numPr>
          <w:ilvl w:val="0"/>
          <w:numId w:val="11251"/>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Планирано е разкриване на нови социални услуги за резидентна грижа, с цел удовлетворяване на потребностите на общинско и областно ниво.</w:t>
      </w:r>
    </w:p>
    <w:p>
      <w:pPr>
        <w:spacing w:before="0" w:after="120" w:line="240"/>
        <w:ind w:right="0" w:left="0" w:firstLine="708"/>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Русе</w:t>
      </w:r>
    </w:p>
    <w:p>
      <w:pPr>
        <w:numPr>
          <w:ilvl w:val="0"/>
          <w:numId w:val="11253"/>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има голям брой социални услуги за резидентна грижа за пълнолетни лица с ментални и физически увреждания, но броят им е недостатъчен за задоволяване на потребностите на жителите на областта;</w:t>
      </w:r>
    </w:p>
    <w:p>
      <w:pPr>
        <w:numPr>
          <w:ilvl w:val="0"/>
          <w:numId w:val="11253"/>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Недостатъчен е капацитетът на услугите, които се предоставят в домашна среда;</w:t>
      </w:r>
    </w:p>
    <w:p>
      <w:pPr>
        <w:numPr>
          <w:ilvl w:val="0"/>
          <w:numId w:val="11253"/>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има една интегрирано здравно-социално услуга за деца и пълнолетни лица.</w:t>
      </w:r>
    </w:p>
    <w:p>
      <w:pPr>
        <w:spacing w:before="0" w:after="120" w:line="240"/>
        <w:ind w:right="0" w:left="0" w:firstLine="708"/>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Силистра:</w:t>
      </w:r>
    </w:p>
    <w:p>
      <w:pPr>
        <w:numPr>
          <w:ilvl w:val="0"/>
          <w:numId w:val="11255"/>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има сравнително голям брой социални услуги за резидентна грижа за пълнолетни лица;</w:t>
      </w:r>
    </w:p>
    <w:p>
      <w:pPr>
        <w:numPr>
          <w:ilvl w:val="0"/>
          <w:numId w:val="11255"/>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няма интегрирани здравно-социални услуги за деца и пълнолетни лица.</w:t>
      </w:r>
    </w:p>
    <w:p>
      <w:pPr>
        <w:spacing w:before="0" w:after="120" w:line="240"/>
        <w:ind w:right="0" w:left="0" w:firstLine="708"/>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Варна</w:t>
      </w:r>
    </w:p>
    <w:p>
      <w:pPr>
        <w:numPr>
          <w:ilvl w:val="0"/>
          <w:numId w:val="11257"/>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Варна, която е и областния център се характеризира със значителен демографски потенциал, което се дължи на по-големите икономически и социални възможности, които предлага;</w:t>
      </w:r>
    </w:p>
    <w:p>
      <w:pPr>
        <w:numPr>
          <w:ilvl w:val="0"/>
          <w:numId w:val="11257"/>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Въпреки на пръв поглед значителния общ брой социални услуги на територията на областта, все още в някои общини съществуват потребности социални услуги за резидентна грижа на т. к. рискови целеви групи, като: пълнолетни лица с психични разстройства, пълнолетни лица с физически увреждания и лицата в надтрудоспособна възраст без увреждания. Не са напълно покрити и потребностите от дневна грижа за деца с трайни увреждания;</w:t>
      </w:r>
    </w:p>
    <w:p>
      <w:pPr>
        <w:numPr>
          <w:ilvl w:val="0"/>
          <w:numId w:val="11257"/>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Област Варна се отличава като притегателен център за целия североизточен район, което се отразява, както на необходимостта от достатъчен брой социални услуги, така и на обхвата на техния спектър.</w:t>
      </w:r>
    </w:p>
    <w:p>
      <w:pPr>
        <w:spacing w:before="0" w:after="120" w:line="240"/>
        <w:ind w:right="0" w:left="0" w:firstLine="708"/>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Добрич</w:t>
      </w:r>
    </w:p>
    <w:p>
      <w:pPr>
        <w:numPr>
          <w:ilvl w:val="0"/>
          <w:numId w:val="11259"/>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наличните места за резидентна грижа за деца без увреждания са повече от идентифицираните потребности. Планира се промяна на броя на потребителите от 15 на 12 места на всяка една резидентна услуга от този вид. По отношение на резидентна грижа за деца с увреждания потребностите не са задоволени и се предвижда създаване на нови услуги.</w:t>
      </w:r>
    </w:p>
    <w:p>
      <w:pPr>
        <w:numPr>
          <w:ilvl w:val="0"/>
          <w:numId w:val="11259"/>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 Добрич има социални услуги за резидентна грижа за пълнолетни лица, но броят им е недостатъчен за задоволяване на потребностите на жителите на областта. Необходимо е да бъдат създадени нови социални услуги от резидентен тип за лица с психични разстройства, умствена изостаналост, физически увреждания, деменция и лица в надтрудоспособна възраст без увреждания.</w:t>
      </w:r>
    </w:p>
    <w:p>
      <w:pPr>
        <w:numPr>
          <w:ilvl w:val="0"/>
          <w:numId w:val="11259"/>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не функционират подслон за лица в кризисна ситуация, както и подслони за деца и лица, пострадали от домашно насилие и лица, жертви на трафик. Към настоящия момент никоя от общините в областта не планира разкриване на този вид услуги. Единствено община Добричка планира създаване на Подслон за бездомни лица с капацитет 10 потребители.</w:t>
      </w:r>
    </w:p>
    <w:p>
      <w:pPr>
        <w:numPr>
          <w:ilvl w:val="0"/>
          <w:numId w:val="11259"/>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Недостатъчен е броят на услугите за дневна и почасова грижа и подкрепа;</w:t>
      </w:r>
    </w:p>
    <w:p>
      <w:pPr>
        <w:numPr>
          <w:ilvl w:val="0"/>
          <w:numId w:val="11259"/>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няма социални услуги за резидентна грижа за лица със сетивни нарушения, както и интегрирани здравно-социални услуги за деца и пълнолетни лица;</w:t>
      </w:r>
    </w:p>
    <w:p>
      <w:pPr>
        <w:spacing w:before="0" w:after="120" w:line="240"/>
        <w:ind w:right="0" w:left="0" w:firstLine="708"/>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Търговище</w:t>
      </w:r>
    </w:p>
    <w:p>
      <w:pPr>
        <w:numPr>
          <w:ilvl w:val="0"/>
          <w:numId w:val="11261"/>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има голям брой, дори преобладават социалните услуги за резидентна грижа, включително се предоставят интегрирани здравно-социални услуги за деца, но броят им не е недостатъчен за задоволяване на потребностите на жителите на областта.</w:t>
      </w:r>
    </w:p>
    <w:p>
      <w:pPr>
        <w:numPr>
          <w:ilvl w:val="0"/>
          <w:numId w:val="11261"/>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Голям е броя на лицата, които са заявили желание да ползват социалната услуга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Асистентска подкрепа“.</w:t>
      </w:r>
    </w:p>
    <w:p>
      <w:pPr>
        <w:numPr>
          <w:ilvl w:val="0"/>
          <w:numId w:val="11261"/>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Недостатъчен е броя на услугите за дневна и почасова грижа и подкрепа;</w:t>
      </w:r>
    </w:p>
    <w:p>
      <w:pPr>
        <w:numPr>
          <w:ilvl w:val="0"/>
          <w:numId w:val="11261"/>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Необходимо е развитие на услугите в посока увеличаване на техния капацитет или създаване на нови такива.</w:t>
      </w:r>
    </w:p>
    <w:p>
      <w:pPr>
        <w:spacing w:before="0" w:after="120" w:line="240"/>
        <w:ind w:right="0" w:left="0" w:firstLine="708"/>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Шумен</w:t>
      </w:r>
    </w:p>
    <w:p>
      <w:pPr>
        <w:numPr>
          <w:ilvl w:val="0"/>
          <w:numId w:val="11263"/>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най-голям брой са консултативните социални услуги, за които е очертана необходимост от увеличаване на броя на местата или създаване на нови. На следващо място преобладават услугите за резидентна грижа, но броят им е недостатъчен за задоволяване на потребностите на жителите на областта.</w:t>
      </w:r>
    </w:p>
    <w:p>
      <w:pPr>
        <w:numPr>
          <w:ilvl w:val="0"/>
          <w:numId w:val="11263"/>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Недостатъчен е броят на услугите за дневна и почасова грижа и подкрепа.;</w:t>
      </w:r>
    </w:p>
    <w:p>
      <w:pPr>
        <w:numPr>
          <w:ilvl w:val="0"/>
          <w:numId w:val="11263"/>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за осигуряване на подслон за лица (деца и пълнолетни) са със сравнително ниски стойности на потребност, но от представените данни е видно, че съществуващия брой на услугите не покрива необходимостта от такива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 първо място се наблюдава необходимост от услуги за осигуряване на подслон за пълнолетни лица пострадали от домашно насилие и лица, жертви на трафик, на следващо място от услуги за осигуряване на подслон за лица в кризисна ситуация и на последно място, но с видимо високи стойности е потребността от услуги за осигуряване на подслон за деца, пострадали от домашно насилие и деца, жертви на трафик.</w:t>
      </w:r>
    </w:p>
    <w:p>
      <w:pPr>
        <w:numPr>
          <w:ilvl w:val="0"/>
          <w:numId w:val="11263"/>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няма интегрирани здравно-социални услуги за деца и пълнолетни лица.</w:t>
      </w:r>
    </w:p>
    <w:p>
      <w:pPr>
        <w:spacing w:before="0" w:after="120" w:line="240"/>
        <w:ind w:right="0" w:left="0" w:firstLine="708"/>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Бургас</w:t>
      </w:r>
    </w:p>
    <w:p>
      <w:pPr>
        <w:numPr>
          <w:ilvl w:val="0"/>
          <w:numId w:val="11265"/>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Доминиращ брой регистрирани безработни без специалност и ниско образование.</w:t>
      </w:r>
    </w:p>
    <w:p>
      <w:pPr>
        <w:numPr>
          <w:ilvl w:val="0"/>
          <w:numId w:val="11265"/>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Висок дял на хората с увреждания, както и на самотно живеещите стари хора, пръснати в многобройните села в общината.</w:t>
      </w:r>
    </w:p>
    <w:p>
      <w:pPr>
        <w:numPr>
          <w:ilvl w:val="0"/>
          <w:numId w:val="11265"/>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Самотни стари хора и хора с увреждания са едни от целевите групи за които е необходимо да се осигурят услуги в общността, а именно, домашен помощник и социален асистент, личен асистент и др.</w:t>
      </w:r>
    </w:p>
    <w:p>
      <w:pPr>
        <w:numPr>
          <w:ilvl w:val="0"/>
          <w:numId w:val="11265"/>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Друга целева група, която се нуждае от услуга в общността е деца в риск и техните семейства.</w:t>
      </w:r>
    </w:p>
    <w:p>
      <w:pPr>
        <w:numPr>
          <w:ilvl w:val="0"/>
          <w:numId w:val="11265"/>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по-малките общини, например като община Приморско услугите подкрепа за деца и лица с увреждания се свеждат до програмите за личен и социален асистент, които не могат да обхванат всички нуждаещи се.</w:t>
      </w:r>
    </w:p>
    <w:p>
      <w:pPr>
        <w:numPr>
          <w:ilvl w:val="0"/>
          <w:numId w:val="11265"/>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Липсват услуги в общността за подкрепа на семейства в риск (деца с един родител, бедни семейства, млади майки).</w:t>
      </w:r>
    </w:p>
    <w:p>
      <w:pPr>
        <w:numPr>
          <w:ilvl w:val="0"/>
          <w:numId w:val="11265"/>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Услугите в общността за деца и семейства са слабо развити.</w:t>
      </w:r>
    </w:p>
    <w:p>
      <w:pPr>
        <w:numPr>
          <w:ilvl w:val="0"/>
          <w:numId w:val="11265"/>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Слабо развити са формите на алтернативна семейна грижа с изключение на настаняването при близки и роднини.</w:t>
      </w:r>
    </w:p>
    <w:p>
      <w:pPr>
        <w:numPr>
          <w:ilvl w:val="0"/>
          <w:numId w:val="11265"/>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гарантиран набор от услуги по превенция, които могат да окажат подкрепа на родители и деца, като по този начин да подпомогнат отглеждането и възпитанието на децата.</w:t>
      </w:r>
    </w:p>
    <w:p>
      <w:pPr>
        <w:numPr>
          <w:ilvl w:val="0"/>
          <w:numId w:val="11265"/>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Развитието на услугите в общността за възрастни с увреждания и стари хора е задоволително. Рисковата група е голяма, което налага разширяването на спектъра и обхвата на предоставяните социални услуги.</w:t>
      </w:r>
    </w:p>
    <w:p>
      <w:pPr>
        <w:spacing w:before="0" w:after="120" w:line="240"/>
        <w:ind w:right="0" w:left="0" w:firstLine="708"/>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Сливен</w:t>
      </w:r>
    </w:p>
    <w:p>
      <w:pPr>
        <w:numPr>
          <w:ilvl w:val="0"/>
          <w:numId w:val="11267"/>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има голям брой социални услуги за резидентна грижа за пълнолетни лица.</w:t>
      </w:r>
    </w:p>
    <w:p>
      <w:pPr>
        <w:numPr>
          <w:ilvl w:val="0"/>
          <w:numId w:val="11267"/>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Няма социални услуги, които да са изчерпили своята необходимост;</w:t>
      </w:r>
    </w:p>
    <w:p>
      <w:pPr>
        <w:numPr>
          <w:ilvl w:val="0"/>
          <w:numId w:val="11267"/>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Недостатъчен е броят на услугите за дневна и почасова грижа и подкрепа, особено за пълнолетните и възрастните лица, които имат трудност сами да организират ежедневието си;</w:t>
      </w:r>
    </w:p>
    <w:p>
      <w:pPr>
        <w:spacing w:before="0" w:after="120" w:line="240"/>
        <w:ind w:right="0" w:left="0" w:firstLine="708"/>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Ямбол</w:t>
      </w:r>
    </w:p>
    <w:p>
      <w:pPr>
        <w:numPr>
          <w:ilvl w:val="0"/>
          <w:numId w:val="11269"/>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има голям брой социални услуги за резидентна грижа за пълнолетни лица, но броят им е недостатъчен за задоволяване на потребностите на жителите на областта.</w:t>
      </w:r>
    </w:p>
    <w:p>
      <w:pPr>
        <w:numPr>
          <w:ilvl w:val="0"/>
          <w:numId w:val="11269"/>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Недостатъчен е броят на услугите за дневна и почасова грижа и подкрепа за деца и пълнолетни лица.</w:t>
      </w:r>
    </w:p>
    <w:p>
      <w:pPr>
        <w:numPr>
          <w:ilvl w:val="0"/>
          <w:numId w:val="11269"/>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Налице е потребност от социални услуги, насочени към подкрепа на деца и техните родители.</w:t>
      </w:r>
    </w:p>
    <w:p>
      <w:pPr>
        <w:numPr>
          <w:ilvl w:val="0"/>
          <w:numId w:val="11269"/>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Налице е потребност от социални услуги, насочени към подкрепа на деца с увреждания, ранна интервенция на уврежданията и подкрепа на техните семейства.</w:t>
      </w:r>
    </w:p>
    <w:p>
      <w:pPr>
        <w:numPr>
          <w:ilvl w:val="0"/>
          <w:numId w:val="11269"/>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 Ямбол не функционират социални услуги, за които е изчерпана необходимостта от предоставяне им.</w:t>
      </w:r>
    </w:p>
    <w:p>
      <w:pPr>
        <w:numPr>
          <w:ilvl w:val="0"/>
          <w:numId w:val="11269"/>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 е установена потребност от намаление на капацитета на социалните услуги.</w:t>
      </w:r>
    </w:p>
    <w:p>
      <w:pPr>
        <w:numPr>
          <w:ilvl w:val="0"/>
          <w:numId w:val="11269"/>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 Ямбол не се планира закриване на действащите социални услуги.</w:t>
      </w:r>
    </w:p>
    <w:p>
      <w:pPr>
        <w:spacing w:before="0" w:after="120" w:line="240"/>
        <w:ind w:right="0" w:left="0" w:firstLine="708"/>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Стара Загора</w:t>
      </w:r>
    </w:p>
    <w:p>
      <w:pPr>
        <w:numPr>
          <w:ilvl w:val="0"/>
          <w:numId w:val="11271"/>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има голям брой социални услуги за резидентна грижа за пълнолетни лица, но броят им е недостатъчен за задоволяване на потребностите на жителите на областта.</w:t>
      </w:r>
    </w:p>
    <w:p>
      <w:pPr>
        <w:numPr>
          <w:ilvl w:val="0"/>
          <w:numId w:val="11271"/>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Недостатъчен е броят на услугите за дневна и почасова грижа и подкрепа за деца и пълнолетни лица.</w:t>
      </w:r>
    </w:p>
    <w:p>
      <w:pPr>
        <w:numPr>
          <w:ilvl w:val="0"/>
          <w:numId w:val="11271"/>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Налице е потребност от социални услуги, насочени към подкрепа на деца и техните родители.</w:t>
      </w:r>
    </w:p>
    <w:p>
      <w:pPr>
        <w:numPr>
          <w:ilvl w:val="0"/>
          <w:numId w:val="11271"/>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Налице е потребност от социални услуги, насочени към подкрепа на деца с увреждания, ранна интервенция на уврежданията и подкрепа на техните семейства.</w:t>
      </w:r>
    </w:p>
    <w:p>
      <w:pPr>
        <w:numPr>
          <w:ilvl w:val="0"/>
          <w:numId w:val="11271"/>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 Стара Загора, съществува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ДМСГД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Стара Загора. Във връзка с процеса на деинституционализация на деца, предстои закриване на специализираната институция. Необходимо е да се предвиди създаването на нова здравно-социални услуги за резидентна грижа за деца с трайни увреждания с потребност от постоянни медицински грижи.</w:t>
      </w:r>
    </w:p>
    <w:p>
      <w:pPr>
        <w:numPr>
          <w:ilvl w:val="0"/>
          <w:numId w:val="11271"/>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 Стара Загора не функционират социални услуги, за които е изчерпана необходимостта от предоставяне.</w:t>
      </w:r>
    </w:p>
    <w:p>
      <w:pPr>
        <w:numPr>
          <w:ilvl w:val="0"/>
          <w:numId w:val="11271"/>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Установена потребност от намаление на капацитета на социалните услуги, само в една община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Раднево.</w:t>
      </w:r>
    </w:p>
    <w:p>
      <w:pPr>
        <w:numPr>
          <w:ilvl w:val="0"/>
          <w:numId w:val="11271"/>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 Стара Загора се планира закриване на действащите социални услуги, като същите се трансформират в други подходящи социални услуги, които да удовлетворяват потребностите.</w:t>
      </w:r>
    </w:p>
    <w:p>
      <w:pPr>
        <w:spacing w:before="0" w:after="12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София-град</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Област София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град покрива същата територия като Столична община. В селищната мрежа на общината са разположени 38 населени места, от които 4 града и 34 села. Общият брой на населението на общината е 1 307 439, като броят на лицата с трайни увреждания възлиза на 112 519.</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Столична община работи в унисон с националната политика в сферата на предоставяне на социалните услуги, които се финансират от държавния бюджет, чрез разкриване и предоставяне на територията на общината на разнообразие от социални услуги за подкрепа на нуждаещите се лица за реализиране на правата им и подобряване качеството им на живот, като до същите е осигурена и добра транспортна обезпеченост.</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Поради спецификите на Столична община и концентрирането на нейната територия на представители от различни целеви групи се наблюдава недостиг на социални услуги и потребност от увеличаване броя на местата на повечето съществуващи такива или създаване на нови.</w:t>
      </w:r>
    </w:p>
    <w:p>
      <w:pPr>
        <w:numPr>
          <w:ilvl w:val="0"/>
          <w:numId w:val="11274"/>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Най-голяма е потребността от социалната услуга дневна грижа за лица с трайни увреждания (деца и пълнолетни лица), като анализа на данните сочи по-голяма нужда от реализиране на дневна грижа за пълнолетни лица с трайни увреждания.</w:t>
      </w:r>
    </w:p>
    <w:p>
      <w:pPr>
        <w:numPr>
          <w:ilvl w:val="0"/>
          <w:numId w:val="11274"/>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за резидентна грижа за пълнолетни лица с психични разстройства и интелектуални затруднения са с най-високи показатели за необходимост предвид малкия брой на съществуващите такива на територията на общината.</w:t>
      </w:r>
    </w:p>
    <w:p>
      <w:pPr>
        <w:numPr>
          <w:ilvl w:val="0"/>
          <w:numId w:val="11274"/>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 е малка и потребността от социалните услуги за резидентна грижа за лица в надтрудоспособна възраст без увреждания, въпреки големия брой на съществуващите такива към момента, като същото става ясно и от информацията за броят на желаещите да ползват специализираната институция ДСХ, който е най-голям, в сравнение с другите услуги на територията на общината.</w:t>
      </w:r>
    </w:p>
    <w:p>
      <w:pPr>
        <w:numPr>
          <w:ilvl w:val="0"/>
          <w:numId w:val="11274"/>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Столична община към момента не функционират интегрирани-здравно социални услуги за резидентна грижа за лица с трайни увреждания (деца, пълнолетни и възрастни хора). Общината планира създаването на този вид услуги за деца и лица, но въпреки сравнително високите потребности от създаване на такава услуга за възрастни хора, общината не предприема действия в тази посока.</w:t>
      </w:r>
    </w:p>
    <w:p>
      <w:pPr>
        <w:numPr>
          <w:ilvl w:val="0"/>
          <w:numId w:val="11274"/>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Потребността от консултативни социални услуги е изключително висока и въпреки, че на територията на София-град най-голям брой са именно консултативните социални услуги (преобладават услугите за деца) е необходимо да се предвиди увеличаване на броя на местата на сегашните или създаване на нови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изведена е най-голяма необходимост от услугите за терапия и рехабилитация и информиране и консултиране.</w:t>
      </w:r>
    </w:p>
    <w:p>
      <w:pPr>
        <w:numPr>
          <w:ilvl w:val="0"/>
          <w:numId w:val="11274"/>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за осигуряване на подслон за лица (деца и пълнолетни) са със сравнително ниски стойности на потребност, но от представените данни е видно, че съществуващия брой на услугите не покрива необходимостта от такива. Най-висока е нуждата от услуги за осигуряване на подслон за пълнолетни лица пострадали от домашно насилие и лица, жертви на трафик, на следващо място от услуги за осигуряване на подслон за лица в кризисна ситуация и на последно място, но със значителни стойности е потребността от услуги за осигуряване на подслон за деца, пострадали от домашно насилие и деца, жертви на трафик.</w:t>
      </w:r>
    </w:p>
    <w:p>
      <w:pPr>
        <w:numPr>
          <w:ilvl w:val="0"/>
          <w:numId w:val="11274"/>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Предвид максималния брой потребители на социалните услуги, изведен по критериите от НПСУ, както и при съобразяване с възможностите на Столична община по отношение на сградния фонд за обезпечаване на социалните услуги, се наблюдава превес в желанието на общината да се предприемат действия по-скоро за увеличаване броя на местата в съществуващите социални услуги, отколкото за създаване на нови такива.</w:t>
      </w:r>
    </w:p>
    <w:p>
      <w:pPr>
        <w:spacing w:before="0" w:after="120" w:line="240"/>
        <w:ind w:right="0" w:left="0" w:firstLine="708"/>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София област</w:t>
      </w:r>
    </w:p>
    <w:p>
      <w:pPr>
        <w:numPr>
          <w:ilvl w:val="0"/>
          <w:numId w:val="11276"/>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има голям брой социални услуги за резидентна грижа за пълнолетни лица с увреждания, но броят им е недостатъчен за задоволяване на потребностите на жителите на областта.</w:t>
      </w:r>
    </w:p>
    <w:p>
      <w:pPr>
        <w:numPr>
          <w:ilvl w:val="0"/>
          <w:numId w:val="11276"/>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Общински съвет - Златица с Решение на сесия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485, </w:t>
      </w:r>
      <w:r>
        <w:rPr>
          <w:rFonts w:ascii="Times New Roman" w:hAnsi="Times New Roman" w:cs="Times New Roman" w:eastAsia="Times New Roman"/>
          <w:color w:val="auto"/>
          <w:spacing w:val="0"/>
          <w:position w:val="0"/>
          <w:sz w:val="24"/>
          <w:shd w:fill="auto" w:val="clear"/>
        </w:rPr>
        <w:t xml:space="preserve">Препис-извлечение по Протокол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53 </w:t>
      </w:r>
      <w:r>
        <w:rPr>
          <w:rFonts w:ascii="Times New Roman" w:hAnsi="Times New Roman" w:cs="Times New Roman" w:eastAsia="Times New Roman"/>
          <w:color w:val="auto"/>
          <w:spacing w:val="0"/>
          <w:position w:val="0"/>
          <w:sz w:val="24"/>
          <w:shd w:fill="auto" w:val="clear"/>
        </w:rPr>
        <w:t xml:space="preserve">от проведено заседание на 24.04.2023 г., е приел - Анализа на потребностите от социални услуги на общинско и областно ниво и Предложение за планиране на социалните услуги на общинско и областно ниво, които се финансират изцяло или частично от държавния бюджет за община Златица, като не дава съгласие за разкриване на социалната услуга за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Резидентна грижа за пълнолетни лица с деменция“. Социалната услуга е заложена в Споразумението между общините в Софийска област, поетия ангажимент на община Златица за разкриването й е с капацитет 15 места, през 2025 г., относно потребността й на областно ниво. Предвид взетото решение на Общински съвет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Златица, същата следва да отпадне.</w:t>
      </w:r>
    </w:p>
    <w:p>
      <w:pPr>
        <w:numPr>
          <w:ilvl w:val="0"/>
          <w:numId w:val="11276"/>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предварителното договаряне между всички общини в Софийска област на областно ниво са поети ангажименти и планирани услуги за задоволяване на потребността от резидентната грижа за пълнолетни лица с деменция, от следните общини: Община Ботевград, Община Костинброд и Община Самоков.</w:t>
      </w:r>
    </w:p>
    <w:p>
      <w:pPr>
        <w:numPr>
          <w:ilvl w:val="0"/>
          <w:numId w:val="11276"/>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Ботевград предвижда трансформиране на едната услуга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Резидентна грижа за деца с трайни увреждания" в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Резидентна грижа за пълнолетни лица с интелектуални затруднения".</w:t>
      </w:r>
    </w:p>
    <w:p>
      <w:pPr>
        <w:numPr>
          <w:ilvl w:val="0"/>
          <w:numId w:val="11276"/>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Правец предвижда трансформиране на социална услуга "Резидентна грижа за деца с трайни увреждания" в услуга "Резидентна грижа за лица с интелектуални затруднения".</w:t>
      </w:r>
    </w:p>
    <w:p>
      <w:pPr>
        <w:numPr>
          <w:ilvl w:val="0"/>
          <w:numId w:val="11276"/>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Община Пирдоп е предвидила разкриване на услуга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Резидентна грижа за пълнолетни лица с физически увреждания“. Същата не е включена в Областното договаряне, но е включена в Предложението след общественото обсъждане.</w:t>
      </w:r>
    </w:p>
    <w:p>
      <w:pPr>
        <w:numPr>
          <w:ilvl w:val="0"/>
          <w:numId w:val="11276"/>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няма интегрирани здравно-социални услуги за деца и пълнолетни лица, независимо от отчетената потребност.</w:t>
      </w:r>
    </w:p>
    <w:p>
      <w:pPr>
        <w:spacing w:before="0" w:after="120" w:line="240"/>
        <w:ind w:right="0" w:left="0" w:firstLine="708"/>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Благоевград</w:t>
      </w:r>
    </w:p>
    <w:p>
      <w:pPr>
        <w:numPr>
          <w:ilvl w:val="0"/>
          <w:numId w:val="11278"/>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има разкрити много социални услуги за резидентна грижа за пълнолетни лица.</w:t>
      </w:r>
    </w:p>
    <w:p>
      <w:pPr>
        <w:numPr>
          <w:ilvl w:val="0"/>
          <w:numId w:val="11278"/>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По-малък е броят на услугите за дневна и почасова грижа и подкрепа.</w:t>
      </w:r>
    </w:p>
    <w:p>
      <w:pPr>
        <w:numPr>
          <w:ilvl w:val="0"/>
          <w:numId w:val="11278"/>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няма интегрирани здравно-социални услуги за деца и пълнолетни лица.</w:t>
      </w:r>
    </w:p>
    <w:p>
      <w:pPr>
        <w:spacing w:before="0" w:after="120" w:line="240"/>
        <w:ind w:right="0" w:left="0" w:firstLine="708"/>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Перник</w:t>
      </w:r>
    </w:p>
    <w:p>
      <w:pPr>
        <w:numPr>
          <w:ilvl w:val="0"/>
          <w:numId w:val="11280"/>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Важна цел на област Перник е осигуряване качество на живот, което ще гарантира благосъстоянието и недопускането на социално изключване на всяко дете и лице, чрез предоставяне на индивидуализирана грижа и подкрепа, фокусирана върху постижими резултати. Работи по посока изпълнение на мерките за осигуряване на социални и интегрирани услуги за ранна интервенция, превенция в семейна среда и среда от семеен тип.</w:t>
      </w:r>
    </w:p>
    <w:p>
      <w:pPr>
        <w:numPr>
          <w:ilvl w:val="0"/>
          <w:numId w:val="11280"/>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има голям брой социални услуги за резидентна грижа, включително се предоставят интегрирани здравно-социални услуги за деца, но броят им не е недостатъчен за задоволяване на потребностите на жителите на областта.</w:t>
      </w:r>
    </w:p>
    <w:p>
      <w:pPr>
        <w:numPr>
          <w:ilvl w:val="0"/>
          <w:numId w:val="11280"/>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Недостатъчен е броя на услугите за дневна и почасова грижа и подкрепа;</w:t>
      </w:r>
    </w:p>
    <w:p>
      <w:pPr>
        <w:numPr>
          <w:ilvl w:val="0"/>
          <w:numId w:val="11280"/>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Необходимо е развитие на услугите в посока увеличаване на техния капацитет или създаване на нови такива.</w:t>
      </w:r>
    </w:p>
    <w:p>
      <w:pPr>
        <w:numPr>
          <w:ilvl w:val="0"/>
          <w:numId w:val="11280"/>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Анализа на областно ниво е видно, че в бъдеще общините няма да могат да задоволят потребностите на жителите от социални услуги поради недостатъчна материална база, липса на квалифициран персонал и др.</w:t>
      </w:r>
    </w:p>
    <w:p>
      <w:pPr>
        <w:spacing w:before="0" w:after="120" w:line="240"/>
        <w:ind w:right="0" w:left="0" w:firstLine="708"/>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Кюстендил</w:t>
      </w:r>
    </w:p>
    <w:p>
      <w:pPr>
        <w:numPr>
          <w:ilvl w:val="0"/>
          <w:numId w:val="11282"/>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има голям брой социални услуги за резидентна грижа за пълнолетни лица, но броят им е недостатъчен за задоволяване на потребностите на жителите на областта.</w:t>
      </w:r>
    </w:p>
    <w:p>
      <w:pPr>
        <w:numPr>
          <w:ilvl w:val="0"/>
          <w:numId w:val="11282"/>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Недостатъчен е броят на услугите за дневна и почасова грижа и подкрепа.</w:t>
      </w:r>
    </w:p>
    <w:p>
      <w:pPr>
        <w:numPr>
          <w:ilvl w:val="0"/>
          <w:numId w:val="11282"/>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 територията на областта няма интегрирани здравно-социални услуги за деца и пълнолетни лица.</w:t>
      </w:r>
    </w:p>
    <w:p>
      <w:pPr>
        <w:numPr>
          <w:ilvl w:val="0"/>
          <w:numId w:val="11282"/>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има голяма потребност от интегрирани здравно-социални услуги, но от ИЗСУ-РГВХНСППМГ. Планирано е създаването на нови такива, за да могат лицата, които имат необходимост от постоянни медицински грижи да получат нужната подкрепа за удовлетворяване на специфичните им потребности в съответните услуги, целящи именно това.</w:t>
      </w:r>
    </w:p>
    <w:p>
      <w:pPr>
        <w:numPr>
          <w:ilvl w:val="0"/>
          <w:numId w:val="11282"/>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Очертава се потребност от увеличаване на субсидираните потребители на социалната услуга АП.</w:t>
      </w:r>
    </w:p>
    <w:p>
      <w:pPr>
        <w:spacing w:before="0" w:after="120" w:line="240"/>
        <w:ind w:right="0" w:left="0" w:firstLine="708"/>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Пловдив</w:t>
      </w:r>
    </w:p>
    <w:p>
      <w:pPr>
        <w:numPr>
          <w:ilvl w:val="0"/>
          <w:numId w:val="11284"/>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функционират почти еднакъв брой социални услуги за деца и за пълнолетни лица, като преобладава резидентната грижа, следвана от консултативните услуги и т.н.</w:t>
      </w:r>
    </w:p>
    <w:p>
      <w:pPr>
        <w:numPr>
          <w:ilvl w:val="0"/>
          <w:numId w:val="11284"/>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Необходимо е развитие на услугите в посока увеличаване на техния капацитет или създаване на нови такива.</w:t>
      </w:r>
    </w:p>
    <w:p>
      <w:pPr>
        <w:numPr>
          <w:ilvl w:val="0"/>
          <w:numId w:val="11284"/>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Въпреки, че на територията на областта има голям брой социални услуги за резидентна грижа, включително се предоставят интегрирани здравно-социални услуги за деца, броят им не е недостатъчен за задоволяване на потребностите на жителите на областта.</w:t>
      </w:r>
    </w:p>
    <w:p>
      <w:pPr>
        <w:numPr>
          <w:ilvl w:val="0"/>
          <w:numId w:val="11284"/>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Недостатъчен е броя на услугите за дневна и почасова грижа и подкрепа.</w:t>
      </w:r>
    </w:p>
    <w:p>
      <w:pPr>
        <w:spacing w:before="0" w:after="120" w:line="240"/>
        <w:ind w:right="0" w:left="0" w:firstLine="708"/>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Хасково</w:t>
      </w:r>
    </w:p>
    <w:p>
      <w:pPr>
        <w:numPr>
          <w:ilvl w:val="0"/>
          <w:numId w:val="11286"/>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Осигуряването на равен достъп до разнообразен спектър от социални услуги на всички лица, които имат необходимост от подкрепа или социална реализация на права, е ключов фактор в социалната политика на територията на страната, но в област Хасково се наблюдава стагнация по отношение настоящото състояние на услугите и бъдещото развитие на нови и различни от наличните дейности за подкрепа на децата и пълнолетните лица чрез социални услуги.</w:t>
      </w:r>
    </w:p>
    <w:p>
      <w:pPr>
        <w:numPr>
          <w:ilvl w:val="0"/>
          <w:numId w:val="11286"/>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най-голям брой са консултативните социални услуги, като преобладават услугите за деца и въпреки техния брой, в областта се наблюдава недостиг на такива, както и необходимост от увеличаване на броя на местата или създаване на нови. Общините в областта са предприели съответните действия в посока увеличаване на настоящия брой места в услугите, с оглед достигане на критериите по НПСУ.</w:t>
      </w:r>
    </w:p>
    <w:p>
      <w:pPr>
        <w:numPr>
          <w:ilvl w:val="0"/>
          <w:numId w:val="11286"/>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областта броят на услугите за дневна грижа за пълнолетните лица с трайни увреждания е недостатъчен, изведената потребност от този вид услуга многократно надвишава броя на съществуващите към момента такива, като броят на местата, които се планират на областно ниво е прекалено малък.</w:t>
      </w:r>
    </w:p>
    <w:p>
      <w:pPr>
        <w:numPr>
          <w:ilvl w:val="0"/>
          <w:numId w:val="11286"/>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анализа на данните е видно, че броят на желаещите да ползват Асистентска подкрепа е най-голям в сравнение с този на желаещите да ползват другите услуги на територията на областта, от същото се извежда необходимостта броят на потребителите да бъде увеличен, но нито една от общините в област Хасково не е предприела действия в тази насока.</w:t>
      </w:r>
    </w:p>
    <w:p>
      <w:pPr>
        <w:numPr>
          <w:ilvl w:val="0"/>
          <w:numId w:val="11286"/>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няма съществуващи интегрирани здравно-социални услуги и потребността от същите е със сравнително ниски стойности. Нито една община не е планирала създаването поне на една такава услуга на своята територия, което означава, че децата, пълнолетните и възрастните хора в надтрудоспособна възраст, които имат необходимост от постоянни медицински грижи няма да имат възможност да получат нужната подкрепа за удовлетворяване на специфичните им потребности в съответните услуги, целящи именно това.</w:t>
      </w:r>
    </w:p>
    <w:p>
      <w:pPr>
        <w:numPr>
          <w:ilvl w:val="0"/>
          <w:numId w:val="11286"/>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Общият брой на лицата с трайни увреждания в област Хасково е около 20 хил. лица, като потребността от различни резидентни услуги за лица с трайни увреждания, предимно пълнолетни с психични разстройства, интелектуални затруднения, физически увреждания, както и лица в надтрудоспособна възраст е доста висока. Предвид същото действията на общините следва да са насочени в посока увеличаване на броя на местата в съществуващите услуги или създаване на нови. Общините на територията на областта не предприемат действия, съответстващи на потребностите на населението в областта.</w:t>
      </w:r>
    </w:p>
    <w:p>
      <w:pPr>
        <w:numPr>
          <w:ilvl w:val="0"/>
          <w:numId w:val="11286"/>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областта се предвижда създаване на нова социална услуга за осигуряване на подслон за лица в кризисна ситуация. За услугите за осигуряване на подслон за лица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деца и пълнолетни, пострадали от домашно насилие или жертви на трафик е инициирано увеличаване на броя на съществуващите места, като същото не кореспондира в цялост с изчислената по критериите по НПСУ потребност за тези две социални услуги. </w:t>
      </w:r>
    </w:p>
    <w:p>
      <w:pPr>
        <w:spacing w:before="0" w:after="120" w:line="240"/>
        <w:ind w:right="0" w:left="0" w:firstLine="708"/>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Пазарджик</w:t>
      </w:r>
    </w:p>
    <w:p>
      <w:pPr>
        <w:numPr>
          <w:ilvl w:val="0"/>
          <w:numId w:val="11288"/>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 Пазарджик е развита мрежа от консултативни социални услуги в общността и услуги за резидентна грижа, които са изцяло съобразени и удовлетворяват в най-голяма степен потребностите на потребителите.</w:t>
      </w:r>
    </w:p>
    <w:p>
      <w:pPr>
        <w:numPr>
          <w:ilvl w:val="0"/>
          <w:numId w:val="11288"/>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има голям брой социални услуги за резидентна грижа за пълнолетни лица, но броят им е недостатъчен за задоволяване на потребностите на пълнолетните лица с ментални увреждания.</w:t>
      </w:r>
    </w:p>
    <w:p>
      <w:pPr>
        <w:numPr>
          <w:ilvl w:val="0"/>
          <w:numId w:val="11288"/>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Недостатъчен е броят на социалните услуги, които се предоставят в домашна среда.</w:t>
      </w:r>
    </w:p>
    <w:p>
      <w:pPr>
        <w:numPr>
          <w:ilvl w:val="0"/>
          <w:numId w:val="11288"/>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няма интегрирани здравно-социални услуги за деца и пълнолетни лица.</w:t>
      </w:r>
    </w:p>
    <w:p>
      <w:pPr>
        <w:numPr>
          <w:ilvl w:val="0"/>
          <w:numId w:val="11288"/>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Планирано е разкриване на нови социални услуги за резидентна грижа, с цел удовлетворяване на потребностите на общинско и областно ниво. Договорени са социални услуги за дневна и резидентна грижа, съобразно критериите, разписани в НКСУ.</w:t>
      </w:r>
    </w:p>
    <w:p>
      <w:pPr>
        <w:spacing w:before="0" w:after="120" w:line="240"/>
        <w:ind w:right="0" w:left="0" w:firstLine="708"/>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Смолян</w:t>
      </w:r>
    </w:p>
    <w:p>
      <w:pPr>
        <w:numPr>
          <w:ilvl w:val="0"/>
          <w:numId w:val="11290"/>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има малък брой социални услуги за резидентна грижа за пълнолетни лица, което поражда необходимостта такива да бъдат планирани, за да се задоволят идентифицираните потребности на лицата от конкретни целеви групи. На база на разгледаните дотук данни, може да се обобщи, че за територията на област Смолян е изключително необходимо спектърът на социалните услуги да продължи да се разширява, т.е. да се създават социални услуги, за които от настоящия анализ е идентифицирана реална необходимост и ще могат да задоволят специфичните потребности на конкретните целеви групи.</w:t>
      </w:r>
    </w:p>
    <w:p>
      <w:pPr>
        <w:numPr>
          <w:ilvl w:val="0"/>
          <w:numId w:val="11290"/>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Данните сочат, че на този етап на територията на област Смолян най-голяма нужда има от разкриване на резидентна грижа за пълнолетни лица с психични разстройства, резидентна грижа за пълнолетни лица с физически увреждания, резидентна грижа за пълнолетни лица с деменция, резидентна грижа за лица в надтрудоспособна възраст без увреждания, както и осигуряване на подслон за лица в кризисна ситуация, и от интегрирани здравно-социални услуги за резидентна грижа за пълнолетни лица с трайни увреждания и потребност от постоянни медицински грижи.</w:t>
      </w:r>
    </w:p>
    <w:p>
      <w:pPr>
        <w:numPr>
          <w:ilvl w:val="0"/>
          <w:numId w:val="11290"/>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Към момента на извършване на анализа, се отчита, че консултативните услуги успяват да покрият потребностите на ползващите ги лица.</w:t>
      </w:r>
    </w:p>
    <w:p>
      <w:pPr>
        <w:numPr>
          <w:ilvl w:val="0"/>
          <w:numId w:val="11290"/>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Все още, особено от населението в по-малките общини от областта, не се възприема достатъчно правилно и ясно ролята на социалните услуги, а именно като дейности, насочени към социално включване и стимулиране за водене на независим начин на живот.</w:t>
      </w:r>
    </w:p>
    <w:p>
      <w:pPr>
        <w:numPr>
          <w:ilvl w:val="0"/>
          <w:numId w:val="11290"/>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няма интегрирани здравно-социални услуги за деца и пълнолетни лица, което следва да бъде една от главните цели на общините от областта при планирането.</w:t>
      </w:r>
    </w:p>
    <w:p>
      <w:pPr>
        <w:spacing w:before="0" w:after="120" w:line="240"/>
        <w:ind w:right="0" w:left="0" w:firstLine="708"/>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Изводи за област Кърджали</w:t>
      </w:r>
    </w:p>
    <w:p>
      <w:pPr>
        <w:numPr>
          <w:ilvl w:val="0"/>
          <w:numId w:val="11292"/>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има социални услуги за резидентна грижа за пълнолетни лица, но броят им е недостатъчен за задоволяване на потребностите на жителите на областта. На база извършените анализи от общините в област Кърджали се установява необезпечен голям брой потребители за резидентна грижа за лица с психични разстройства, интелектуални затруднения, физически увреждания и деменция, както и за възрастни хора в надтрудоспособна възраст без увреждания. Със споразумение на областно ниво са предложени за създаване 11 социални услуги за резидентна грижа от горецитираните целеви групи.</w:t>
      </w:r>
    </w:p>
    <w:p>
      <w:pPr>
        <w:numPr>
          <w:ilvl w:val="0"/>
          <w:numId w:val="11292"/>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Недостатъчен е броят на услугите за дневна и почасова грижа и подкрепа за деца и пълнолетни лица.</w:t>
      </w:r>
    </w:p>
    <w:p>
      <w:pPr>
        <w:numPr>
          <w:ilvl w:val="0"/>
          <w:numId w:val="11292"/>
        </w:numPr>
        <w:spacing w:before="0" w:after="120" w:line="240"/>
        <w:ind w:right="0" w:left="115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територията на областта няма интегрирани здравно-социални услуги за деца и пълнолетни лица.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контекста на гореизложеното се налагат следните обобщени за страната изводи:</w:t>
      </w:r>
    </w:p>
    <w:p>
      <w:pPr>
        <w:numPr>
          <w:ilvl w:val="0"/>
          <w:numId w:val="11294"/>
        </w:numPr>
        <w:spacing w:before="0" w:after="120" w:line="240"/>
        <w:ind w:right="0" w:left="1134" w:hanging="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Общините като основния доставчик на социални услуги в страната, имат дългогодишен опит и експертиза в тяхното управление и предоставяне. Необходимо да се отбележи, че съществена част от реформата е промяната на възприемане на досега действащите форми на социални услуги, обвързани с наименованията и сградите на социалните услуги, като дейности за подкрепа за превенция и/или преодоляване на социалното изключване, реализирането на права и подобряване на качеството на живот на потребителите на услугите. Въпреки, че ЗСУ е в сила от 2020 година, все още се наблюдава неразбиране на промяната от страна на общините, което довежда и до липса на поемане на ангажименти по отношение на социалните услуги.</w:t>
      </w:r>
    </w:p>
    <w:p>
      <w:pPr>
        <w:numPr>
          <w:ilvl w:val="0"/>
          <w:numId w:val="11294"/>
        </w:numPr>
        <w:spacing w:before="0" w:after="120" w:line="240"/>
        <w:ind w:right="0" w:left="1134" w:hanging="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Всички демографски фактори, показват че на територията на страната населението застарява и има необходимост от създаване на пълна мрежа от социални услуги, с оглед задоволяване на потребностите на населението в общините, на областно и национално ниво, включително в дългосрочен план. Към настоящия момент всички общини се възползват от възможностите  на европейските фондове, като участват в процедура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Топъл обяд“ на Програма за храни и основно материално подпомагане 2021 г. - 2027 г., в процедура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Патронажна грижа +“ и др. с оглед осигуряване на възможност за грижа и подкрепа на по-голяма част от населението в общините. </w:t>
      </w:r>
    </w:p>
    <w:p>
      <w:pPr>
        <w:numPr>
          <w:ilvl w:val="0"/>
          <w:numId w:val="11294"/>
        </w:numPr>
        <w:spacing w:before="0" w:after="120" w:line="240"/>
        <w:ind w:right="0" w:left="1134" w:hanging="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Изготвянето на Националната карта на социалните услуги е едно от поредните предизвикателства, пред които бяхме изправени през 2023 година. Имайки предвид, че анализ на потребностите от социални и интегрирани здравно-социални услуги на общинско и областно ниво и предложение за планиране на социалните услуги, който се финансират изцяло или частично от държавния бюджет следваше да бъдат разработени от всички общини, голяма част от общините не подходиха с нужната отговорност при разработване на документите. </w:t>
      </w:r>
    </w:p>
    <w:p>
      <w:pPr>
        <w:numPr>
          <w:ilvl w:val="0"/>
          <w:numId w:val="11294"/>
        </w:numPr>
        <w:spacing w:before="0" w:after="120" w:line="240"/>
        <w:ind w:right="0" w:left="1134" w:hanging="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По-голяма част от общините са отчели всички фактори и са предприели действия за промяна на броя на потребителите в съществуващите социални услуги, трансформиране на съществуващи услуги в други подходящи социални услуги, които да удовлетворяват потребностите или разкриване на необходимите нови такива услуги. Въпреки положените усилия, изведените потребности отново са частично задоволени.</w:t>
      </w:r>
    </w:p>
    <w:p>
      <w:pPr>
        <w:numPr>
          <w:ilvl w:val="0"/>
          <w:numId w:val="11294"/>
        </w:numPr>
        <w:spacing w:before="0" w:after="120" w:line="240"/>
        <w:ind w:right="0" w:left="1134" w:hanging="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 оглед неблагоприятните демографски процеси във всички области се отчита недостиг на социални услуги за пълнолетни лица - за услугата Асистентска подкрепа, предоставяна в домашна среда, за услугите за резидентна грижа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за пълнолетни лица с психични разстройства, с интелектуални затруднения, със сетивни увреждания, с деменция, с физически увреждания и в надтрудоспособна възраст без увреждания. При разглеждане на съществуващите диспропорции в различните региони този недостиг е различен, но се отчита във всички области. Недостатъчен е броят на социалните услуги за дневна грижа за пълнолетни лица, въпреки изключително големият брои на лицата с увреждания.</w:t>
      </w:r>
    </w:p>
    <w:p>
      <w:pPr>
        <w:numPr>
          <w:ilvl w:val="0"/>
          <w:numId w:val="11294"/>
        </w:numPr>
        <w:spacing w:before="0" w:after="120" w:line="240"/>
        <w:ind w:right="0" w:left="1134" w:hanging="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отношение на социалните услуги за деца е важно да се отбележи, че е налице потребност от социални услуги, насочени към подкрепа на деца с увреждания, ранна интервенция на уврежданията и подкрепа на техните семейства.</w:t>
      </w:r>
    </w:p>
    <w:p>
      <w:pPr>
        <w:numPr>
          <w:ilvl w:val="0"/>
          <w:numId w:val="11294"/>
        </w:numPr>
        <w:spacing w:before="0" w:after="120" w:line="240"/>
        <w:ind w:right="0" w:left="1134" w:hanging="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съществено значение е факта, че много малко са общините, които са предложили разкриване на интегрирани здравно-социални услуги за резидентна грижа за деца с трайни увреждания с потребност от постоянни медицински грижи, интегрирани здравно-социални услуги за резидентна грижа за пълнолетни лица с трайни увреждания с потребност от постоянни медицински грижи и интегрирани здравно-социални услуги за резидентна грижа за възрастни хора в невъзможност за самообслужване с потребност от постоянни медицински грижи, въпреки потребностите на населението.</w:t>
      </w:r>
    </w:p>
    <w:p>
      <w:pPr>
        <w:numPr>
          <w:ilvl w:val="0"/>
          <w:numId w:val="11294"/>
        </w:numPr>
        <w:spacing w:before="0" w:after="120" w:line="240"/>
        <w:ind w:right="0" w:left="1134" w:hanging="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Много малко са общините, които са предложили разкриване на социалните услуги за осигуряване на подслон за лица в кризисна ситуация, осигуряване на подслон за деца, пострадали от домашно насилие и деца, жертви на трафик и осигуряване на подслон за пълнолетни лица, пострадали от домашно насилие и лица жертви на трафик. </w:t>
      </w:r>
    </w:p>
    <w:p>
      <w:pPr>
        <w:numPr>
          <w:ilvl w:val="0"/>
          <w:numId w:val="11294"/>
        </w:numPr>
        <w:spacing w:before="0" w:after="120" w:line="240"/>
        <w:ind w:right="0" w:left="1134" w:hanging="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по-голямата си част общините не предлагат действия, съответстващи на потребностите на населението, въпреки че декларират, че социалните услуги са съществена част от политиките на общинските администрации, като част от тях са поели конкретни ангажименти за увеличаване на броя на потребителите на съществуващите услуги или са планирали създаване на нови социални услуги.</w:t>
      </w:r>
    </w:p>
    <w:p>
      <w:pPr>
        <w:keepNext w:val="true"/>
        <w:numPr>
          <w:ilvl w:val="0"/>
          <w:numId w:val="11294"/>
        </w:numPr>
        <w:tabs>
          <w:tab w:val="left" w:pos="718" w:leader="none"/>
          <w:tab w:val="left" w:pos="576" w:leader="none"/>
        </w:tabs>
        <w:spacing w:before="360" w:after="120" w:line="240"/>
        <w:ind w:right="0" w:left="576" w:hanging="576"/>
        <w:jc w:val="both"/>
        <w:rPr>
          <w:rFonts w:ascii="Times New Roman" w:hAnsi="Times New Roman" w:cs="Times New Roman" w:eastAsia="Times New Roman"/>
          <w:b/>
          <w:color w:val="003366"/>
          <w:spacing w:val="0"/>
          <w:position w:val="0"/>
          <w:sz w:val="28"/>
          <w:shd w:fill="auto" w:val="clear"/>
        </w:rPr>
      </w:pPr>
      <w:r>
        <w:rPr>
          <w:rFonts w:ascii="Times New Roman" w:hAnsi="Times New Roman" w:cs="Times New Roman" w:eastAsia="Times New Roman"/>
          <w:b/>
          <w:color w:val="003366"/>
          <w:spacing w:val="0"/>
          <w:position w:val="0"/>
          <w:sz w:val="28"/>
          <w:shd w:fill="auto" w:val="clear"/>
        </w:rPr>
        <w:t xml:space="preserve">Препоръки </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Изпълнението на предприетата мащабна реформа в областта на социалните услуги, следва да продължи да се реализира с обединените усилия на всички заинтересовани страни. Сериозните усилия и ресурси до момента, които бяха насочени в реформата на специализираната нормативната уредба с приемането на ЗСУ и подзаконовата уредба към него, трябва да са насочени и към тяхното изпълнение. </w:t>
      </w:r>
    </w:p>
    <w:p>
      <w:pPr>
        <w:keepNext w:val="true"/>
        <w:tabs>
          <w:tab w:val="left" w:pos="862" w:leader="none"/>
        </w:tabs>
        <w:spacing w:before="240" w:after="6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По отношение на социалните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Сред функциите на АСП е да оказва методическа подкрепа при оценката на потребностите от социални услуги, планирането, създаването, предоставянето и развитието на социалните услуги и с оглед осигуряване на възможност за равен достъп до услуги на всички нуждаещи се чрез планиране на социални услуги, съгласно реалните потребности и нужди и равномерно разпределение на социалните услуги на територията на страната, както и на основание на чл. 47 от Наредбата за планиране на социалните услуги, АСП ще включи в предложението за Картата социалните услуги на общинско ниво и социални и интегрирани здравно-социални услуги на областно ниво, за които в анализа на потребностите на дадена община е отчетена необходимост, но общината не ги е включила в предложението си, освен в случаите при които е постигната предварителна договореност по време на проведените обсъждания в областна администрация, като няма да включи в предложението за Картата социални услуги на общинско ниво и социални и интегрирани здравно-социални услуги на областно ниво, за които в анализа на потребностите на дадена община не е отчетена необходимост, но общината ги е включила в предложението.</w:t>
      </w:r>
    </w:p>
    <w:p>
      <w:pPr>
        <w:numPr>
          <w:ilvl w:val="0"/>
          <w:numId w:val="11299"/>
        </w:numPr>
        <w:spacing w:before="0" w:after="12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проекта за предложението на Картата следва да са включени: </w:t>
      </w:r>
    </w:p>
    <w:p>
      <w:pPr>
        <w:numPr>
          <w:ilvl w:val="0"/>
          <w:numId w:val="11299"/>
        </w:numPr>
        <w:spacing w:before="0" w:after="120" w:line="240"/>
        <w:ind w:right="0" w:left="1701" w:hanging="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всички социални и интегрирани здравно-социални услуги и максималния брой потребители на тези услуги (по видове), за цялата страна, по области и по общини; </w:t>
      </w:r>
    </w:p>
    <w:p>
      <w:pPr>
        <w:numPr>
          <w:ilvl w:val="0"/>
          <w:numId w:val="11299"/>
        </w:numPr>
        <w:spacing w:before="0" w:after="120" w:line="240"/>
        <w:ind w:right="0" w:left="1701" w:hanging="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всички социални и интегрирани здравно-социални услуги на областно ниво за удовлетворяване на потребностите на лица от цялата страна и максималния брой потребители на тези услуги (за цялата страна и за всяка област); </w:t>
      </w:r>
    </w:p>
    <w:p>
      <w:pPr>
        <w:numPr>
          <w:ilvl w:val="0"/>
          <w:numId w:val="11299"/>
        </w:numPr>
        <w:spacing w:before="0" w:after="120" w:line="240"/>
        <w:ind w:right="0" w:left="1701" w:hanging="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всички социални и интегрирани здравно-социални услуги на областно ниво за удовлетворяване на потребностите на населението от цялата област и максималния брой потребители на тези услуги (за цялата страна и за всяка област); </w:t>
      </w:r>
    </w:p>
    <w:p>
      <w:pPr>
        <w:numPr>
          <w:ilvl w:val="0"/>
          <w:numId w:val="11299"/>
        </w:numPr>
        <w:spacing w:before="0" w:after="120" w:line="240"/>
        <w:ind w:right="0" w:left="1701" w:hanging="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всички социални услуги на общинско ниво и максималния брой потребители на тези услуги, за които се осигурява изцяло или частично финансиране от държавния бюджет (по общини). </w:t>
      </w:r>
    </w:p>
    <w:p>
      <w:pPr>
        <w:numPr>
          <w:ilvl w:val="0"/>
          <w:numId w:val="11299"/>
        </w:numPr>
        <w:spacing w:before="0" w:after="120" w:line="240"/>
        <w:ind w:right="0" w:left="0" w:firstLine="42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Особено внимание да се обърне за постигане на договореност между общините във всяка област за обезпечаване на необходимите услуги за най-уязвимите групи лица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за осигуряване на подслон за лица и деца при кризисно настаняване, осигуряване на резидентна грижа за децата и лицата с потребност от постоянни медицински грижи и в невъзможност за самообслужване, лицата с психични разстройства, с интелектуални увреждания, със сетивни увреждания, деменция, ранната интервенция за децата с увреждания, услугите за превенция и подкрепа за децата и техните семейства, както и за задоволяване на потребностите на лицата, нуждаещи се от грижа в домашна среда, като е необходимо АСП да предприеме необходимите действия за включването им в Националната карта. Това ще даде възможност всички общини в дългосрочен план да могат да предприемат необходимите действия за осигуряване на грижа и подкрепа за всички потребители на територията на съответната община и област, както и на национално ниво, като използват всички възможности, които ЗСУ регламентира, свързани с промяна на модела на грижа за хората нуждаещи се от закрила, подобряване на условията им на живот, както и предоставянето на качествени социални услуги на европейско ниво.</w:t>
      </w:r>
    </w:p>
    <w:p>
      <w:pPr>
        <w:numPr>
          <w:ilvl w:val="0"/>
          <w:numId w:val="11299"/>
        </w:numPr>
        <w:spacing w:before="0" w:after="120" w:line="240"/>
        <w:ind w:right="0" w:left="0" w:firstLine="42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Социалните услуги за ранно детско развитие в общините Аврен, Провадия, Благоевград, Петрич, Якоруда, Айтос, Камено, Средец, Габрово, Враца, Генерал Тошево, Крушари, Ардино, Кирково, Дупница, Лом, Монтана, Велинград, Кнежа, Карлово, Марица, Самуил, Смолян, Правец, Димитровград и Ямбол да се включат в Картата по служебен път, съгласно чл. 47, ал.1, т.1 от Наредбата за планиране на социалните услуги.</w:t>
      </w:r>
    </w:p>
    <w:p>
      <w:pPr>
        <w:numPr>
          <w:ilvl w:val="0"/>
          <w:numId w:val="11299"/>
        </w:numPr>
        <w:spacing w:before="0" w:after="120" w:line="240"/>
        <w:ind w:right="0" w:left="0" w:firstLine="42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 цел осигуряване на устойчивост на дейностите, свързани с приемната грижа в Националната карта на социалните услуги да бъдат включени като част от  социалните услуги съгласно чл. 15, т. 1, т. 2 и т. 5 от ЗСУ - информиране и консултиране, застъпничество и посредничество, обучение за придобиване на умения. Дейностите по набиране, оценяване и обучение на кандидати за приемни семейства, взаимно адаптиране, подкрепа и наблюдение на отглеждането на детето от семейството също могат да се обхванат чрез посочените социални услуги.</w:t>
      </w:r>
    </w:p>
    <w:p>
      <w:pPr>
        <w:numPr>
          <w:ilvl w:val="0"/>
          <w:numId w:val="11299"/>
        </w:numPr>
        <w:spacing w:before="0" w:after="120" w:line="240"/>
        <w:ind w:right="0" w:left="0" w:firstLine="42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 цел запазване на областния модел за развитие на приемната грижа, капацитета и експертизата на служителите от Областните екипи по приемна грижа, функциониращи в рамките на проект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Приеми ме 2015“, да се разработят методически насоки към общините, съобразно предвидените възможности в ЗСУ за предоставяне на социални услуги на общинско ниво и/или областно ниво, начин на организация и управление, сключване на споразумения и други.</w:t>
      </w:r>
    </w:p>
    <w:p>
      <w:pPr>
        <w:numPr>
          <w:ilvl w:val="0"/>
          <w:numId w:val="11299"/>
        </w:numPr>
        <w:spacing w:before="0" w:after="120" w:line="240"/>
        <w:ind w:right="0" w:left="0" w:firstLine="42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Във връзка с процеса на деинституционализация и предстоящото закриване на ДМСГД е необходимо да бъдат включени в Картата интегрирани здравно-социални услуги за резидентна грижа за деца с трайни увреждания с потребност от постоянни медицински грижи на областно ниво за 128 деца с трайни увреждания и потребност от постоянни медицински грижи, както и резидентна грижа за деца с трайни увреждания за 72 деца.</w:t>
      </w:r>
    </w:p>
    <w:p>
      <w:pPr>
        <w:numPr>
          <w:ilvl w:val="0"/>
          <w:numId w:val="11299"/>
        </w:numPr>
        <w:spacing w:before="0" w:after="120" w:line="240"/>
        <w:ind w:right="0" w:left="0" w:firstLine="42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анализиране на данните за съществуващите Кризисни центрове е установено, че в 11 области няма нито един действащ КЦ, в 21 области няма КЦ за пълнолетни лица, а в 13 области няма КЦ за деца. Въпреки, че критериите за определяне на социалните и интегрираните здравно социални услуги посочват потребности от специализирани социални услуги за осигуряване на подслон за деца и лица, пострадали от домашно насилие и на жертви на трафик, същите не са планирани от общините. Предвид този факт, че много малко са общините, които са предложили разкриване на социалните услуги за тези целеви групи, то съгласно дадената от законодателя възможност по чл. 47, ал. 1 от Наредбата за планиране на социалните услуги, АСП да планира в Картата за всяка една от 28-те области в Република България с общ брой потребители 774, от които 479 деца и 295 пълнолетни лица.</w:t>
      </w:r>
    </w:p>
    <w:p>
      <w:pPr>
        <w:numPr>
          <w:ilvl w:val="0"/>
          <w:numId w:val="11299"/>
        </w:numPr>
        <w:spacing w:before="0" w:after="120" w:line="240"/>
        <w:ind w:right="0" w:left="0" w:firstLine="42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Основният подход в работата по изготвяне на проекта на предложение на Картата да се базира на изведените потребности за всяка една община, на основание на генерираните данни от Приложение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5 </w:t>
      </w:r>
      <w:r>
        <w:rPr>
          <w:rFonts w:ascii="Times New Roman" w:hAnsi="Times New Roman" w:cs="Times New Roman" w:eastAsia="Times New Roman"/>
          <w:color w:val="auto"/>
          <w:spacing w:val="0"/>
          <w:position w:val="0"/>
          <w:sz w:val="24"/>
          <w:shd w:fill="auto" w:val="clear"/>
        </w:rPr>
        <w:t xml:space="preserve">към Анализа на потребностите, при съблюдаване и на посочените условия и дадената от законодателя възможност, съгласно чл. 47, ал. 1 от НПСУ, АСП да включва социални услуги на общинско ниво и социални и интегрирани здравно-социални услуги на областно ниво, за които в анализа на потребностите на дадена община е отчетена необходимост, но общината не ги е планирала или да не включва в предложението за Картата социални услуги на общинско ниво и социални и интегрирани здравно-социални услуги на областно ниво, за които в анализа на потребностите на дадена община не е отчетена необходимост, но общината ги е планирала.</w:t>
      </w:r>
    </w:p>
    <w:p>
      <w:pPr>
        <w:keepNext w:val="true"/>
        <w:tabs>
          <w:tab w:val="left" w:pos="862" w:leader="none"/>
        </w:tabs>
        <w:spacing w:before="240" w:after="60" w:line="240"/>
        <w:ind w:right="0" w:left="862" w:hanging="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По отношение на персонала</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Една от предпоставките за ефективност на социалните услуги е наличието на квалифициран и мотивиран персонал. Развитието и обучението на човешките ресурси в тази област е важна предпоставка за качествени услуги, които да съдействат за повишаване и качеството на живот на отделните индивиди, семейства и групи. Съпоставяйки данните за брой на назначени служители по утвърдените щатни разписания в услугите на териториите на общините, както и въз основа на определените минимални изисквания в стандартите за качество на социалните услуги, касаещи броя и квалификацията на необходимите служители, се очертава необходимост от увеличаване броя на служителите, с оглед на оптимално функциониране на социалните и интегрираните здравно-социални услуги на общинско и областно ниво, които се финансират от държавния бюджет. </w:t>
      </w:r>
    </w:p>
    <w:p>
      <w:pPr>
        <w:keepNext w:val="true"/>
        <w:numPr>
          <w:ilvl w:val="0"/>
          <w:numId w:val="11304"/>
        </w:numPr>
        <w:tabs>
          <w:tab w:val="left" w:pos="432" w:leader="none"/>
        </w:tabs>
        <w:spacing w:before="240" w:after="60" w:line="240"/>
        <w:ind w:right="0" w:left="432" w:hanging="432"/>
        <w:jc w:val="both"/>
        <w:rPr>
          <w:rFonts w:ascii="Times New Roman" w:hAnsi="Times New Roman" w:cs="Times New Roman" w:eastAsia="Times New Roman"/>
          <w:b/>
          <w:color w:val="003366"/>
          <w:spacing w:val="0"/>
          <w:position w:val="0"/>
          <w:sz w:val="36"/>
          <w:shd w:fill="auto" w:val="clear"/>
        </w:rPr>
      </w:pPr>
      <w:r>
        <w:rPr>
          <w:rFonts w:ascii="Times New Roman" w:hAnsi="Times New Roman" w:cs="Times New Roman" w:eastAsia="Times New Roman"/>
          <w:b/>
          <w:color w:val="003366"/>
          <w:spacing w:val="0"/>
          <w:position w:val="0"/>
          <w:sz w:val="36"/>
          <w:shd w:fill="auto" w:val="clear"/>
        </w:rPr>
        <w:t xml:space="preserve">Заключение</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Законът за социалните услуги за първи път въведе планиране на социалните услуги, финансирани от държавния бюджет, и отреди водеща роля в него на общинските администрации. </w:t>
      </w:r>
    </w:p>
    <w:p>
      <w:pPr>
        <w:spacing w:before="12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Въз основа на анализите по чл. 37, ал. 1 от НПСУ, получени от всички общини, Агенцията за социално подпомагане изготви настоящият Анализ на потребностите на национално ниво от социални и интегрирани здравно-социални услуги на общинско и областно ниво, които се финансират изцяло или частично от държавния бюджет. Изведените препоръки от анализа, както и предложенията по чл. 41, ал. 1 от НПСУ на общините ще са базата върху която ще стъпи АСП при изготвяне на предложението за Националната карта на социалните услуги, в което задължително ще се включат:</w:t>
      </w:r>
    </w:p>
    <w:p>
      <w:pPr>
        <w:numPr>
          <w:ilvl w:val="0"/>
          <w:numId w:val="11307"/>
        </w:numPr>
        <w:spacing w:before="12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всички социални и интегрирани здравно-социални услуги и максималния брой потребители на тези услуги (по видове), за които се осигурява изцяло или частично финансиране от държавния бюджет (за цялата страна, по области и по общини);</w:t>
      </w:r>
    </w:p>
    <w:p>
      <w:pPr>
        <w:numPr>
          <w:ilvl w:val="0"/>
          <w:numId w:val="11307"/>
        </w:numPr>
        <w:spacing w:before="12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всички социални и интегрирани здравно-социални услуги на областно ниво за удовлетворяване на потребностите на лица от цялата страна и максималния брой потребители на тези услуги, за които се осигурява изцяло или частично финансиране от държавния бюджет (за цялата страна и за всяка област);</w:t>
      </w:r>
    </w:p>
    <w:p>
      <w:pPr>
        <w:numPr>
          <w:ilvl w:val="0"/>
          <w:numId w:val="11307"/>
        </w:numPr>
        <w:spacing w:before="12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всички социални и интегрирани здравно-социални услуги на областно ниво за удовлетворяване на потребностите на населението от цялата област и максималния брой потребители на тези услуги, за които се осигурява изцяло или частично финансиране от държавния бюджет (за цялата страна и за всяка област);</w:t>
      </w:r>
    </w:p>
    <w:p>
      <w:pPr>
        <w:numPr>
          <w:ilvl w:val="0"/>
          <w:numId w:val="11307"/>
        </w:numPr>
        <w:spacing w:before="12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всички социални услуги на общинско ниво и максималния брой потребители на тези услуги, за които се осигурява изцяло или частично финансиране от държавния бюджет (по общини).</w:t>
      </w:r>
    </w:p>
    <w:p>
      <w:pPr>
        <w:spacing w:before="12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разработването на предложението за Картата, АСП ще използва законодателното си право:</w:t>
      </w:r>
    </w:p>
    <w:p>
      <w:pPr>
        <w:numPr>
          <w:ilvl w:val="0"/>
          <w:numId w:val="11309"/>
        </w:numPr>
        <w:spacing w:before="12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u w:val="single"/>
          <w:shd w:fill="auto" w:val="clear"/>
        </w:rPr>
        <w:t xml:space="preserve">да включва</w:t>
      </w:r>
      <w:r>
        <w:rPr>
          <w:rFonts w:ascii="Times New Roman" w:hAnsi="Times New Roman" w:cs="Times New Roman" w:eastAsia="Times New Roman"/>
          <w:color w:val="auto"/>
          <w:spacing w:val="0"/>
          <w:position w:val="0"/>
          <w:sz w:val="24"/>
          <w:shd w:fill="auto" w:val="clear"/>
        </w:rPr>
        <w:t xml:space="preserve"> социални услуги на общинско ниво и социални и интегрирани здравно-социални услуги на областно ниво, за които в анализа на потребностите на дадена община е отчетена необходимост, но общината не ги е включила в своето предложение </w:t>
      </w:r>
    </w:p>
    <w:p>
      <w:pPr>
        <w:numPr>
          <w:ilvl w:val="0"/>
          <w:numId w:val="11309"/>
        </w:numPr>
        <w:spacing w:before="12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u w:val="single"/>
          <w:shd w:fill="auto" w:val="clear"/>
        </w:rPr>
        <w:t xml:space="preserve">да не включва</w:t>
      </w:r>
      <w:r>
        <w:rPr>
          <w:rFonts w:ascii="Times New Roman" w:hAnsi="Times New Roman" w:cs="Times New Roman" w:eastAsia="Times New Roman"/>
          <w:color w:val="auto"/>
          <w:spacing w:val="0"/>
          <w:position w:val="0"/>
          <w:sz w:val="24"/>
          <w:shd w:fill="auto" w:val="clear"/>
        </w:rPr>
        <w:t xml:space="preserve"> в предложението за Картата социални услуги на общинско ниво и социални и интегрирани здравно-социални услуги на областно ниво, за които в анализа на потребностите на дадена община не е отчетена необходимост, но общината ги е включила в своето предложение.</w:t>
      </w:r>
    </w:p>
    <w:p>
      <w:pPr>
        <w:spacing w:before="12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След изготвяне на предложението за Картата ще бъдат предприети последващи действия за:</w:t>
      </w:r>
    </w:p>
    <w:p>
      <w:pPr>
        <w:numPr>
          <w:ilvl w:val="0"/>
          <w:numId w:val="11311"/>
        </w:numPr>
        <w:spacing w:before="12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Предварително съгласуване на Проекта на предложението за Картата с Министъра на здравеопазването, в частта относно интегрираните здравно-социални услуги, съгласно чл. 47, ал. 2 от НПСУ;</w:t>
      </w:r>
    </w:p>
    <w:p>
      <w:pPr>
        <w:numPr>
          <w:ilvl w:val="0"/>
          <w:numId w:val="11311"/>
        </w:numPr>
        <w:spacing w:before="12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Подготовка и провеждане на обсъждане на областно и общинско ниво на Анализа на потребностите на национално ниво от социални и интегрирани здравно-социални услуги на общинско и областно ниво, които се финансират изцяло или частично от държавния бюджет и Предложението за Картата, съгласно чл. 48 и чл. 49 от НПСУ;</w:t>
      </w:r>
    </w:p>
    <w:p>
      <w:pPr>
        <w:numPr>
          <w:ilvl w:val="0"/>
          <w:numId w:val="11311"/>
        </w:numPr>
        <w:spacing w:before="12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Изготвяне на оценка на въздействието на Предложението за Картата и разработване на доклад, относно проведеното обсъждане на областно и общинско ниво с обобщената информация за резултатите от обсъжданията от областните управители и кметовете на общините </w:t>
      </w:r>
    </w:p>
    <w:p>
      <w:pPr>
        <w:numPr>
          <w:ilvl w:val="0"/>
          <w:numId w:val="11311"/>
        </w:numPr>
        <w:spacing w:before="12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Представяне на  предложението за Националната карта на социалните услуги на Министъра на труда и социалната политика, който организира провеждането на обществени консултации по реда на ЗНА на предложението за Национална карта на социалните услуги.</w:t>
      </w:r>
    </w:p>
    <w:p>
      <w:pPr>
        <w:numPr>
          <w:ilvl w:val="0"/>
          <w:numId w:val="11311"/>
        </w:numPr>
        <w:spacing w:before="0" w:after="12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Приемане на Картата с Решение на Министерския съвет и нейното публикуване на интернет страниците на институциите по чл. 52 от НПСУ, като всяка община също публикува информация относно включените в Картата социални и интегрирани здравно-социални услуги на общинско и областно ниво за съответната община и актуална информация относно предоставяните услуги.</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abstractNum w:abstractNumId="126">
    <w:lvl w:ilvl="0">
      <w:start w:val="1"/>
      <w:numFmt w:val="bullet"/>
      <w:lvlText w:val="•"/>
    </w:lvl>
  </w:abstractNum>
  <w:abstractNum w:abstractNumId="132">
    <w:lvl w:ilvl="0">
      <w:start w:val="1"/>
      <w:numFmt w:val="bullet"/>
      <w:lvlText w:val="•"/>
    </w:lvl>
  </w:abstractNum>
  <w:abstractNum w:abstractNumId="138">
    <w:lvl w:ilvl="0">
      <w:start w:val="1"/>
      <w:numFmt w:val="bullet"/>
      <w:lvlText w:val="•"/>
    </w:lvl>
  </w:abstractNum>
  <w:abstractNum w:abstractNumId="144">
    <w:lvl w:ilvl="0">
      <w:start w:val="1"/>
      <w:numFmt w:val="bullet"/>
      <w:lvlText w:val="•"/>
    </w:lvl>
  </w:abstractNum>
  <w:abstractNum w:abstractNumId="150">
    <w:lvl w:ilvl="0">
      <w:start w:val="1"/>
      <w:numFmt w:val="bullet"/>
      <w:lvlText w:val="•"/>
    </w:lvl>
  </w:abstractNum>
  <w:abstractNum w:abstractNumId="156">
    <w:lvl w:ilvl="0">
      <w:start w:val="1"/>
      <w:numFmt w:val="bullet"/>
      <w:lvlText w:val="•"/>
    </w:lvl>
  </w:abstractNum>
  <w:abstractNum w:abstractNumId="162">
    <w:lvl w:ilvl="0">
      <w:start w:val="1"/>
      <w:numFmt w:val="bullet"/>
      <w:lvlText w:val="•"/>
    </w:lvl>
  </w:abstractNum>
  <w:abstractNum w:abstractNumId="168">
    <w:lvl w:ilvl="0">
      <w:start w:val="1"/>
      <w:numFmt w:val="bullet"/>
      <w:lvlText w:val="•"/>
    </w:lvl>
  </w:abstractNum>
  <w:abstractNum w:abstractNumId="174">
    <w:lvl w:ilvl="0">
      <w:start w:val="1"/>
      <w:numFmt w:val="bullet"/>
      <w:lvlText w:val="•"/>
    </w:lvl>
  </w:abstractNum>
  <w:abstractNum w:abstractNumId="180">
    <w:lvl w:ilvl="0">
      <w:start w:val="1"/>
      <w:numFmt w:val="bullet"/>
      <w:lvlText w:val="•"/>
    </w:lvl>
  </w:abstractNum>
  <w:abstractNum w:abstractNumId="186">
    <w:lvl w:ilvl="0">
      <w:start w:val="1"/>
      <w:numFmt w:val="bullet"/>
      <w:lvlText w:val="•"/>
    </w:lvl>
  </w:abstractNum>
  <w:abstractNum w:abstractNumId="192">
    <w:lvl w:ilvl="0">
      <w:start w:val="1"/>
      <w:numFmt w:val="bullet"/>
      <w:lvlText w:val="•"/>
    </w:lvl>
  </w:abstractNum>
  <w:abstractNum w:abstractNumId="198">
    <w:lvl w:ilvl="0">
      <w:start w:val="1"/>
      <w:numFmt w:val="bullet"/>
      <w:lvlText w:val="•"/>
    </w:lvl>
  </w:abstractNum>
  <w:abstractNum w:abstractNumId="204">
    <w:lvl w:ilvl="0">
      <w:start w:val="1"/>
      <w:numFmt w:val="bullet"/>
      <w:lvlText w:val="•"/>
    </w:lvl>
  </w:abstractNum>
  <w:abstractNum w:abstractNumId="210">
    <w:lvl w:ilvl="0">
      <w:start w:val="1"/>
      <w:numFmt w:val="bullet"/>
      <w:lvlText w:val="•"/>
    </w:lvl>
  </w:abstractNum>
  <w:abstractNum w:abstractNumId="216">
    <w:lvl w:ilvl="0">
      <w:start w:val="1"/>
      <w:numFmt w:val="bullet"/>
      <w:lvlText w:val="•"/>
    </w:lvl>
  </w:abstractNum>
  <w:abstractNum w:abstractNumId="222">
    <w:lvl w:ilvl="0">
      <w:start w:val="1"/>
      <w:numFmt w:val="bullet"/>
      <w:lvlText w:val="•"/>
    </w:lvl>
  </w:abstractNum>
  <w:abstractNum w:abstractNumId="228">
    <w:lvl w:ilvl="0">
      <w:start w:val="1"/>
      <w:numFmt w:val="bullet"/>
      <w:lvlText w:val="•"/>
    </w:lvl>
  </w:abstractNum>
  <w:abstractNum w:abstractNumId="234">
    <w:lvl w:ilvl="0">
      <w:start w:val="1"/>
      <w:numFmt w:val="bullet"/>
      <w:lvlText w:val="•"/>
    </w:lvl>
  </w:abstractNum>
  <w:abstractNum w:abstractNumId="240">
    <w:lvl w:ilvl="0">
      <w:start w:val="1"/>
      <w:numFmt w:val="bullet"/>
      <w:lvlText w:val="•"/>
    </w:lvl>
  </w:abstractNum>
  <w:abstractNum w:abstractNumId="246">
    <w:lvl w:ilvl="0">
      <w:start w:val="1"/>
      <w:numFmt w:val="bullet"/>
      <w:lvlText w:val="•"/>
    </w:lvl>
  </w:abstractNum>
  <w:abstractNum w:abstractNumId="252">
    <w:lvl w:ilvl="0">
      <w:start w:val="1"/>
      <w:numFmt w:val="bullet"/>
      <w:lvlText w:val="•"/>
    </w:lvl>
  </w:abstractNum>
  <w:abstractNum w:abstractNumId="258">
    <w:lvl w:ilvl="0">
      <w:start w:val="1"/>
      <w:numFmt w:val="bullet"/>
      <w:lvlText w:val="•"/>
    </w:lvl>
  </w:abstractNum>
  <w:abstractNum w:abstractNumId="264">
    <w:lvl w:ilvl="0">
      <w:start w:val="1"/>
      <w:numFmt w:val="bullet"/>
      <w:lvlText w:val="•"/>
    </w:lvl>
  </w:abstractNum>
  <w:abstractNum w:abstractNumId="270">
    <w:lvl w:ilvl="0">
      <w:start w:val="1"/>
      <w:numFmt w:val="bullet"/>
      <w:lvlText w:val="•"/>
    </w:lvl>
  </w:abstractNum>
  <w:abstractNum w:abstractNumId="276">
    <w:lvl w:ilvl="0">
      <w:start w:val="1"/>
      <w:numFmt w:val="bullet"/>
      <w:lvlText w:val="•"/>
    </w:lvl>
  </w:abstractNum>
  <w:abstractNum w:abstractNumId="282">
    <w:lvl w:ilvl="0">
      <w:start w:val="1"/>
      <w:numFmt w:val="bullet"/>
      <w:lvlText w:val="•"/>
    </w:lvl>
  </w:abstractNum>
  <w:abstractNum w:abstractNumId="288">
    <w:lvl w:ilvl="0">
      <w:start w:val="1"/>
      <w:numFmt w:val="bullet"/>
      <w:lvlText w:val="•"/>
    </w:lvl>
  </w:abstractNum>
  <w:abstractNum w:abstractNumId="294">
    <w:lvl w:ilvl="0">
      <w:start w:val="1"/>
      <w:numFmt w:val="bullet"/>
      <w:lvlText w:val="•"/>
    </w:lvl>
  </w:abstractNum>
  <w:abstractNum w:abstractNumId="300">
    <w:lvl w:ilvl="0">
      <w:start w:val="1"/>
      <w:numFmt w:val="bullet"/>
      <w:lvlText w:val="•"/>
    </w:lvl>
  </w:abstractNum>
  <w:abstractNum w:abstractNumId="306">
    <w:lvl w:ilvl="0">
      <w:start w:val="1"/>
      <w:numFmt w:val="bullet"/>
      <w:lvlText w:val="•"/>
    </w:lvl>
  </w:abstractNum>
  <w:abstractNum w:abstractNumId="312">
    <w:lvl w:ilvl="0">
      <w:start w:val="1"/>
      <w:numFmt w:val="bullet"/>
      <w:lvlText w:val="•"/>
    </w:lvl>
  </w:abstractNum>
  <w:abstractNum w:abstractNumId="318">
    <w:lvl w:ilvl="0">
      <w:start w:val="1"/>
      <w:numFmt w:val="bullet"/>
      <w:lvlText w:val="•"/>
    </w:lvl>
  </w:abstractNum>
  <w:abstractNum w:abstractNumId="324">
    <w:lvl w:ilvl="0">
      <w:start w:val="1"/>
      <w:numFmt w:val="bullet"/>
      <w:lvlText w:val="•"/>
    </w:lvl>
  </w:abstractNum>
  <w:abstractNum w:abstractNumId="330">
    <w:lvl w:ilvl="0">
      <w:start w:val="1"/>
      <w:numFmt w:val="bullet"/>
      <w:lvlText w:val="•"/>
    </w:lvl>
  </w:abstractNum>
  <w:abstractNum w:abstractNumId="336">
    <w:lvl w:ilvl="0">
      <w:start w:val="1"/>
      <w:numFmt w:val="bullet"/>
      <w:lvlText w:val="•"/>
    </w:lvl>
  </w:abstractNum>
  <w:abstractNum w:abstractNumId="342">
    <w:lvl w:ilvl="0">
      <w:start w:val="1"/>
      <w:numFmt w:val="bullet"/>
      <w:lvlText w:val="•"/>
    </w:lvl>
  </w:abstractNum>
  <w:abstractNum w:abstractNumId="348">
    <w:lvl w:ilvl="0">
      <w:start w:val="1"/>
      <w:numFmt w:val="bullet"/>
      <w:lvlText w:val="•"/>
    </w:lvl>
  </w:abstractNum>
  <w:abstractNum w:abstractNumId="354">
    <w:lvl w:ilvl="0">
      <w:start w:val="1"/>
      <w:numFmt w:val="bullet"/>
      <w:lvlText w:val="•"/>
    </w:lvl>
  </w:abstractNum>
  <w:abstractNum w:abstractNumId="360">
    <w:lvl w:ilvl="0">
      <w:start w:val="1"/>
      <w:numFmt w:val="bullet"/>
      <w:lvlText w:val="•"/>
    </w:lvl>
  </w:abstractNum>
  <w:abstractNum w:abstractNumId="366">
    <w:lvl w:ilvl="0">
      <w:start w:val="1"/>
      <w:numFmt w:val="bullet"/>
      <w:lvlText w:val="•"/>
    </w:lvl>
  </w:abstractNum>
  <w:abstractNum w:abstractNumId="372">
    <w:lvl w:ilvl="0">
      <w:start w:val="1"/>
      <w:numFmt w:val="bullet"/>
      <w:lvlText w:val="•"/>
    </w:lvl>
  </w:abstractNum>
  <w:abstractNum w:abstractNumId="378">
    <w:lvl w:ilvl="0">
      <w:start w:val="1"/>
      <w:numFmt w:val="bullet"/>
      <w:lvlText w:val="•"/>
    </w:lvl>
  </w:abstractNum>
  <w:abstractNum w:abstractNumId="384">
    <w:lvl w:ilvl="0">
      <w:start w:val="1"/>
      <w:numFmt w:val="bullet"/>
      <w:lvlText w:val="•"/>
    </w:lvl>
  </w:abstractNum>
  <w:abstractNum w:abstractNumId="390">
    <w:lvl w:ilvl="0">
      <w:start w:val="1"/>
      <w:numFmt w:val="bullet"/>
      <w:lvlText w:val="•"/>
    </w:lvl>
  </w:abstractNum>
  <w:abstractNum w:abstractNumId="396">
    <w:lvl w:ilvl="0">
      <w:start w:val="1"/>
      <w:numFmt w:val="bullet"/>
      <w:lvlText w:val="•"/>
    </w:lvl>
  </w:abstractNum>
  <w:abstractNum w:abstractNumId="402">
    <w:lvl w:ilvl="0">
      <w:start w:val="1"/>
      <w:numFmt w:val="bullet"/>
      <w:lvlText w:val="•"/>
    </w:lvl>
  </w:abstractNum>
  <w:abstractNum w:abstractNumId="408">
    <w:lvl w:ilvl="0">
      <w:start w:val="1"/>
      <w:numFmt w:val="bullet"/>
      <w:lvlText w:val="•"/>
    </w:lvl>
  </w:abstractNum>
  <w:abstractNum w:abstractNumId="414">
    <w:lvl w:ilvl="0">
      <w:start w:val="1"/>
      <w:numFmt w:val="bullet"/>
      <w:lvlText w:val="•"/>
    </w:lvl>
  </w:abstractNum>
  <w:abstractNum w:abstractNumId="420">
    <w:lvl w:ilvl="0">
      <w:start w:val="1"/>
      <w:numFmt w:val="bullet"/>
      <w:lvlText w:val="•"/>
    </w:lvl>
  </w:abstractNum>
  <w:abstractNum w:abstractNumId="426">
    <w:lvl w:ilvl="0">
      <w:start w:val="1"/>
      <w:numFmt w:val="bullet"/>
      <w:lvlText w:val="•"/>
    </w:lvl>
  </w:abstractNum>
  <w:abstractNum w:abstractNumId="432">
    <w:lvl w:ilvl="0">
      <w:start w:val="1"/>
      <w:numFmt w:val="bullet"/>
      <w:lvlText w:val="•"/>
    </w:lvl>
  </w:abstractNum>
  <w:abstractNum w:abstractNumId="438">
    <w:lvl w:ilvl="0">
      <w:start w:val="1"/>
      <w:numFmt w:val="bullet"/>
      <w:lvlText w:val="•"/>
    </w:lvl>
  </w:abstractNum>
  <w:abstractNum w:abstractNumId="444">
    <w:lvl w:ilvl="0">
      <w:start w:val="1"/>
      <w:numFmt w:val="bullet"/>
      <w:lvlText w:val="•"/>
    </w:lvl>
  </w:abstractNum>
  <w:abstractNum w:abstractNumId="450">
    <w:lvl w:ilvl="0">
      <w:start w:val="1"/>
      <w:numFmt w:val="bullet"/>
      <w:lvlText w:val="•"/>
    </w:lvl>
  </w:abstractNum>
  <w:abstractNum w:abstractNumId="456">
    <w:lvl w:ilvl="0">
      <w:start w:val="1"/>
      <w:numFmt w:val="bullet"/>
      <w:lvlText w:val="•"/>
    </w:lvl>
  </w:abstractNum>
  <w:abstractNum w:abstractNumId="462">
    <w:lvl w:ilvl="0">
      <w:start w:val="1"/>
      <w:numFmt w:val="bullet"/>
      <w:lvlText w:val="•"/>
    </w:lvl>
  </w:abstractNum>
  <w:abstractNum w:abstractNumId="468">
    <w:lvl w:ilvl="0">
      <w:start w:val="1"/>
      <w:numFmt w:val="bullet"/>
      <w:lvlText w:val="•"/>
    </w:lvl>
  </w:abstractNum>
  <w:abstractNum w:abstractNumId="474">
    <w:lvl w:ilvl="0">
      <w:start w:val="1"/>
      <w:numFmt w:val="bullet"/>
      <w:lvlText w:val="•"/>
    </w:lvl>
  </w:abstractNum>
  <w:abstractNum w:abstractNumId="480">
    <w:lvl w:ilvl="0">
      <w:start w:val="1"/>
      <w:numFmt w:val="bullet"/>
      <w:lvlText w:val="•"/>
    </w:lvl>
  </w:abstractNum>
  <w:abstractNum w:abstractNumId="486">
    <w:lvl w:ilvl="0">
      <w:start w:val="1"/>
      <w:numFmt w:val="bullet"/>
      <w:lvlText w:val="•"/>
    </w:lvl>
  </w:abstractNum>
  <w:abstractNum w:abstractNumId="492">
    <w:lvl w:ilvl="0">
      <w:start w:val="1"/>
      <w:numFmt w:val="bullet"/>
      <w:lvlText w:val="•"/>
    </w:lvl>
  </w:abstractNum>
  <w:abstractNum w:abstractNumId="498">
    <w:lvl w:ilvl="0">
      <w:start w:val="1"/>
      <w:numFmt w:val="bullet"/>
      <w:lvlText w:val="•"/>
    </w:lvl>
  </w:abstractNum>
  <w:abstractNum w:abstractNumId="504">
    <w:lvl w:ilvl="0">
      <w:start w:val="1"/>
      <w:numFmt w:val="bullet"/>
      <w:lvlText w:val="•"/>
    </w:lvl>
  </w:abstractNum>
  <w:abstractNum w:abstractNumId="510">
    <w:lvl w:ilvl="0">
      <w:start w:val="1"/>
      <w:numFmt w:val="bullet"/>
      <w:lvlText w:val="•"/>
    </w:lvl>
  </w:abstractNum>
  <w:abstractNum w:abstractNumId="516">
    <w:lvl w:ilvl="0">
      <w:start w:val="1"/>
      <w:numFmt w:val="bullet"/>
      <w:lvlText w:val="•"/>
    </w:lvl>
  </w:abstractNum>
  <w:abstractNum w:abstractNumId="522">
    <w:lvl w:ilvl="0">
      <w:start w:val="1"/>
      <w:numFmt w:val="bullet"/>
      <w:lvlText w:val="•"/>
    </w:lvl>
  </w:abstractNum>
  <w:abstractNum w:abstractNumId="528">
    <w:lvl w:ilvl="0">
      <w:start w:val="1"/>
      <w:numFmt w:val="bullet"/>
      <w:lvlText w:val="•"/>
    </w:lvl>
  </w:abstractNum>
  <w:abstractNum w:abstractNumId="534">
    <w:lvl w:ilvl="0">
      <w:start w:val="1"/>
      <w:numFmt w:val="bullet"/>
      <w:lvlText w:val="•"/>
    </w:lvl>
  </w:abstractNum>
  <w:abstractNum w:abstractNumId="540">
    <w:lvl w:ilvl="0">
      <w:start w:val="1"/>
      <w:numFmt w:val="bullet"/>
      <w:lvlText w:val="•"/>
    </w:lvl>
  </w:abstractNum>
  <w:abstractNum w:abstractNumId="546">
    <w:lvl w:ilvl="0">
      <w:start w:val="1"/>
      <w:numFmt w:val="bullet"/>
      <w:lvlText w:val="•"/>
    </w:lvl>
  </w:abstractNum>
  <w:abstractNum w:abstractNumId="552">
    <w:lvl w:ilvl="0">
      <w:start w:val="1"/>
      <w:numFmt w:val="bullet"/>
      <w:lvlText w:val="•"/>
    </w:lvl>
  </w:abstractNum>
  <w:abstractNum w:abstractNumId="558">
    <w:lvl w:ilvl="0">
      <w:start w:val="1"/>
      <w:numFmt w:val="bullet"/>
      <w:lvlText w:val="•"/>
    </w:lvl>
  </w:abstractNum>
  <w:abstractNum w:abstractNumId="564">
    <w:lvl w:ilvl="0">
      <w:start w:val="1"/>
      <w:numFmt w:val="bullet"/>
      <w:lvlText w:val="•"/>
    </w:lvl>
  </w:abstractNum>
  <w:abstractNum w:abstractNumId="570">
    <w:lvl w:ilvl="0">
      <w:start w:val="1"/>
      <w:numFmt w:val="bullet"/>
      <w:lvlText w:val="•"/>
    </w:lvl>
  </w:abstractNum>
  <w:abstractNum w:abstractNumId="576">
    <w:lvl w:ilvl="0">
      <w:start w:val="1"/>
      <w:numFmt w:val="bullet"/>
      <w:lvlText w:val="•"/>
    </w:lvl>
  </w:abstractNum>
  <w:abstractNum w:abstractNumId="582">
    <w:lvl w:ilvl="0">
      <w:start w:val="1"/>
      <w:numFmt w:val="bullet"/>
      <w:lvlText w:val="•"/>
    </w:lvl>
  </w:abstractNum>
  <w:abstractNum w:abstractNumId="588">
    <w:lvl w:ilvl="0">
      <w:start w:val="1"/>
      <w:numFmt w:val="bullet"/>
      <w:lvlText w:val="•"/>
    </w:lvl>
  </w:abstractNum>
  <w:abstractNum w:abstractNumId="594">
    <w:lvl w:ilvl="0">
      <w:start w:val="1"/>
      <w:numFmt w:val="bullet"/>
      <w:lvlText w:val="•"/>
    </w:lvl>
  </w:abstractNum>
  <w:abstractNum w:abstractNumId="600">
    <w:lvl w:ilvl="0">
      <w:start w:val="1"/>
      <w:numFmt w:val="bullet"/>
      <w:lvlText w:val="•"/>
    </w:lvl>
  </w:abstractNum>
  <w:abstractNum w:abstractNumId="606">
    <w:lvl w:ilvl="0">
      <w:start w:val="1"/>
      <w:numFmt w:val="bullet"/>
      <w:lvlText w:val="•"/>
    </w:lvl>
  </w:abstractNum>
  <w:abstractNum w:abstractNumId="612">
    <w:lvl w:ilvl="0">
      <w:start w:val="1"/>
      <w:numFmt w:val="bullet"/>
      <w:lvlText w:val="•"/>
    </w:lvl>
  </w:abstractNum>
  <w:abstractNum w:abstractNumId="618">
    <w:lvl w:ilvl="0">
      <w:start w:val="1"/>
      <w:numFmt w:val="bullet"/>
      <w:lvlText w:val="•"/>
    </w:lvl>
  </w:abstractNum>
  <w:abstractNum w:abstractNumId="624">
    <w:lvl w:ilvl="0">
      <w:start w:val="1"/>
      <w:numFmt w:val="bullet"/>
      <w:lvlText w:val="•"/>
    </w:lvl>
  </w:abstractNum>
  <w:abstractNum w:abstractNumId="630">
    <w:lvl w:ilvl="0">
      <w:start w:val="1"/>
      <w:numFmt w:val="bullet"/>
      <w:lvlText w:val="•"/>
    </w:lvl>
  </w:abstractNum>
  <w:abstractNum w:abstractNumId="636">
    <w:lvl w:ilvl="0">
      <w:start w:val="1"/>
      <w:numFmt w:val="bullet"/>
      <w:lvlText w:val="•"/>
    </w:lvl>
  </w:abstractNum>
  <w:abstractNum w:abstractNumId="642">
    <w:lvl w:ilvl="0">
      <w:start w:val="1"/>
      <w:numFmt w:val="bullet"/>
      <w:lvlText w:val="•"/>
    </w:lvl>
  </w:abstractNum>
  <w:abstractNum w:abstractNumId="648">
    <w:lvl w:ilvl="0">
      <w:start w:val="1"/>
      <w:numFmt w:val="bullet"/>
      <w:lvlText w:val="•"/>
    </w:lvl>
  </w:abstractNum>
  <w:abstractNum w:abstractNumId="654">
    <w:lvl w:ilvl="0">
      <w:start w:val="1"/>
      <w:numFmt w:val="bullet"/>
      <w:lvlText w:val="•"/>
    </w:lvl>
  </w:abstractNum>
  <w:abstractNum w:abstractNumId="660">
    <w:lvl w:ilvl="0">
      <w:start w:val="1"/>
      <w:numFmt w:val="bullet"/>
      <w:lvlText w:val="•"/>
    </w:lvl>
  </w:abstractNum>
  <w:abstractNum w:abstractNumId="666">
    <w:lvl w:ilvl="0">
      <w:start w:val="1"/>
      <w:numFmt w:val="bullet"/>
      <w:lvlText w:val="•"/>
    </w:lvl>
  </w:abstractNum>
  <w:abstractNum w:abstractNumId="672">
    <w:lvl w:ilvl="0">
      <w:start w:val="1"/>
      <w:numFmt w:val="bullet"/>
      <w:lvlText w:val="•"/>
    </w:lvl>
  </w:abstractNum>
  <w:abstractNum w:abstractNumId="678">
    <w:lvl w:ilvl="0">
      <w:start w:val="1"/>
      <w:numFmt w:val="bullet"/>
      <w:lvlText w:val="•"/>
    </w:lvl>
  </w:abstractNum>
  <w:abstractNum w:abstractNumId="684">
    <w:lvl w:ilvl="0">
      <w:start w:val="1"/>
      <w:numFmt w:val="bullet"/>
      <w:lvlText w:val="•"/>
    </w:lvl>
  </w:abstractNum>
  <w:abstractNum w:abstractNumId="690">
    <w:lvl w:ilvl="0">
      <w:start w:val="1"/>
      <w:numFmt w:val="bullet"/>
      <w:lvlText w:val="•"/>
    </w:lvl>
  </w:abstractNum>
  <w:abstractNum w:abstractNumId="696">
    <w:lvl w:ilvl="0">
      <w:start w:val="1"/>
      <w:numFmt w:val="bullet"/>
      <w:lvlText w:val="•"/>
    </w:lvl>
  </w:abstractNum>
  <w:abstractNum w:abstractNumId="702">
    <w:lvl w:ilvl="0">
      <w:start w:val="1"/>
      <w:numFmt w:val="bullet"/>
      <w:lvlText w:val="•"/>
    </w:lvl>
  </w:abstractNum>
  <w:abstractNum w:abstractNumId="708">
    <w:lvl w:ilvl="0">
      <w:start w:val="1"/>
      <w:numFmt w:val="bullet"/>
      <w:lvlText w:val="•"/>
    </w:lvl>
  </w:abstractNum>
  <w:abstractNum w:abstractNumId="714">
    <w:lvl w:ilvl="0">
      <w:start w:val="1"/>
      <w:numFmt w:val="bullet"/>
      <w:lvlText w:val="•"/>
    </w:lvl>
  </w:abstractNum>
  <w:abstractNum w:abstractNumId="720">
    <w:lvl w:ilvl="0">
      <w:start w:val="1"/>
      <w:numFmt w:val="bullet"/>
      <w:lvlText w:val="•"/>
    </w:lvl>
  </w:abstractNum>
  <w:abstractNum w:abstractNumId="726">
    <w:lvl w:ilvl="0">
      <w:start w:val="1"/>
      <w:numFmt w:val="bullet"/>
      <w:lvlText w:val="•"/>
    </w:lvl>
  </w:abstractNum>
  <w:abstractNum w:abstractNumId="732">
    <w:lvl w:ilvl="0">
      <w:start w:val="1"/>
      <w:numFmt w:val="bullet"/>
      <w:lvlText w:val="•"/>
    </w:lvl>
  </w:abstractNum>
  <w:abstractNum w:abstractNumId="738">
    <w:lvl w:ilvl="0">
      <w:start w:val="1"/>
      <w:numFmt w:val="bullet"/>
      <w:lvlText w:val="•"/>
    </w:lvl>
  </w:abstractNum>
  <w:abstractNum w:abstractNumId="744">
    <w:lvl w:ilvl="0">
      <w:start w:val="1"/>
      <w:numFmt w:val="bullet"/>
      <w:lvlText w:val="•"/>
    </w:lvl>
  </w:abstractNum>
  <w:abstractNum w:abstractNumId="750">
    <w:lvl w:ilvl="0">
      <w:start w:val="1"/>
      <w:numFmt w:val="bullet"/>
      <w:lvlText w:val="•"/>
    </w:lvl>
  </w:abstractNum>
  <w:abstractNum w:abstractNumId="756">
    <w:lvl w:ilvl="0">
      <w:start w:val="1"/>
      <w:numFmt w:val="bullet"/>
      <w:lvlText w:val="•"/>
    </w:lvl>
  </w:abstractNum>
  <w:abstractNum w:abstractNumId="762">
    <w:lvl w:ilvl="0">
      <w:start w:val="1"/>
      <w:numFmt w:val="bullet"/>
      <w:lvlText w:val="•"/>
    </w:lvl>
  </w:abstractNum>
  <w:abstractNum w:abstractNumId="768">
    <w:lvl w:ilvl="0">
      <w:start w:val="1"/>
      <w:numFmt w:val="bullet"/>
      <w:lvlText w:val="•"/>
    </w:lvl>
  </w:abstractNum>
  <w:abstractNum w:abstractNumId="774">
    <w:lvl w:ilvl="0">
      <w:start w:val="1"/>
      <w:numFmt w:val="bullet"/>
      <w:lvlText w:val="•"/>
    </w:lvl>
  </w:abstractNum>
  <w:abstractNum w:abstractNumId="780">
    <w:lvl w:ilvl="0">
      <w:start w:val="1"/>
      <w:numFmt w:val="bullet"/>
      <w:lvlText w:val="•"/>
    </w:lvl>
  </w:abstractNum>
  <w:abstractNum w:abstractNumId="786">
    <w:lvl w:ilvl="0">
      <w:start w:val="1"/>
      <w:numFmt w:val="bullet"/>
      <w:lvlText w:val="•"/>
    </w:lvl>
  </w:abstractNum>
  <w:abstractNum w:abstractNumId="792">
    <w:lvl w:ilvl="0">
      <w:start w:val="1"/>
      <w:numFmt w:val="bullet"/>
      <w:lvlText w:val="•"/>
    </w:lvl>
  </w:abstractNum>
  <w:abstractNum w:abstractNumId="798">
    <w:lvl w:ilvl="0">
      <w:start w:val="1"/>
      <w:numFmt w:val="bullet"/>
      <w:lvlText w:val="•"/>
    </w:lvl>
  </w:abstractNum>
  <w:abstractNum w:abstractNumId="804">
    <w:lvl w:ilvl="0">
      <w:start w:val="1"/>
      <w:numFmt w:val="bullet"/>
      <w:lvlText w:val="•"/>
    </w:lvl>
  </w:abstractNum>
  <w:abstractNum w:abstractNumId="810">
    <w:lvl w:ilvl="0">
      <w:start w:val="1"/>
      <w:numFmt w:val="bullet"/>
      <w:lvlText w:val="•"/>
    </w:lvl>
  </w:abstractNum>
  <w:abstractNum w:abstractNumId="816">
    <w:lvl w:ilvl="0">
      <w:start w:val="1"/>
      <w:numFmt w:val="bullet"/>
      <w:lvlText w:val="•"/>
    </w:lvl>
  </w:abstractNum>
  <w:abstractNum w:abstractNumId="822">
    <w:lvl w:ilvl="0">
      <w:start w:val="1"/>
      <w:numFmt w:val="bullet"/>
      <w:lvlText w:val="•"/>
    </w:lvl>
  </w:abstractNum>
  <w:abstractNum w:abstractNumId="828">
    <w:lvl w:ilvl="0">
      <w:start w:val="1"/>
      <w:numFmt w:val="bullet"/>
      <w:lvlText w:val="•"/>
    </w:lvl>
  </w:abstractNum>
  <w:abstractNum w:abstractNumId="834">
    <w:lvl w:ilvl="0">
      <w:start w:val="1"/>
      <w:numFmt w:val="bullet"/>
      <w:lvlText w:val="•"/>
    </w:lvl>
  </w:abstractNum>
  <w:abstractNum w:abstractNumId="840">
    <w:lvl w:ilvl="0">
      <w:start w:val="1"/>
      <w:numFmt w:val="bullet"/>
      <w:lvlText w:val="•"/>
    </w:lvl>
  </w:abstractNum>
  <w:abstractNum w:abstractNumId="846">
    <w:lvl w:ilvl="0">
      <w:start w:val="1"/>
      <w:numFmt w:val="bullet"/>
      <w:lvlText w:val="•"/>
    </w:lvl>
  </w:abstractNum>
  <w:abstractNum w:abstractNumId="852">
    <w:lvl w:ilvl="0">
      <w:start w:val="1"/>
      <w:numFmt w:val="bullet"/>
      <w:lvlText w:val="•"/>
    </w:lvl>
  </w:abstractNum>
  <w:abstractNum w:abstractNumId="858">
    <w:lvl w:ilvl="0">
      <w:start w:val="1"/>
      <w:numFmt w:val="bullet"/>
      <w:lvlText w:val="•"/>
    </w:lvl>
  </w:abstractNum>
  <w:abstractNum w:abstractNumId="864">
    <w:lvl w:ilvl="0">
      <w:start w:val="1"/>
      <w:numFmt w:val="bullet"/>
      <w:lvlText w:val="•"/>
    </w:lvl>
  </w:abstractNum>
  <w:abstractNum w:abstractNumId="870">
    <w:lvl w:ilvl="0">
      <w:start w:val="1"/>
      <w:numFmt w:val="bullet"/>
      <w:lvlText w:val="•"/>
    </w:lvl>
  </w:abstractNum>
  <w:abstractNum w:abstractNumId="876">
    <w:lvl w:ilvl="0">
      <w:start w:val="1"/>
      <w:numFmt w:val="bullet"/>
      <w:lvlText w:val="•"/>
    </w:lvl>
  </w:abstractNum>
  <w:abstractNum w:abstractNumId="882">
    <w:lvl w:ilvl="0">
      <w:start w:val="1"/>
      <w:numFmt w:val="bullet"/>
      <w:lvlText w:val="•"/>
    </w:lvl>
  </w:abstractNum>
  <w:abstractNum w:abstractNumId="888">
    <w:lvl w:ilvl="0">
      <w:start w:val="1"/>
      <w:numFmt w:val="bullet"/>
      <w:lvlText w:val="•"/>
    </w:lvl>
  </w:abstractNum>
  <w:abstractNum w:abstractNumId="894">
    <w:lvl w:ilvl="0">
      <w:start w:val="1"/>
      <w:numFmt w:val="bullet"/>
      <w:lvlText w:val="•"/>
    </w:lvl>
  </w:abstractNum>
  <w:abstractNum w:abstractNumId="900">
    <w:lvl w:ilvl="0">
      <w:start w:val="1"/>
      <w:numFmt w:val="bullet"/>
      <w:lvlText w:val="•"/>
    </w:lvl>
  </w:abstractNum>
  <w:abstractNum w:abstractNumId="906">
    <w:lvl w:ilvl="0">
      <w:start w:val="1"/>
      <w:numFmt w:val="bullet"/>
      <w:lvlText w:val="•"/>
    </w:lvl>
  </w:abstractNum>
  <w:abstractNum w:abstractNumId="912">
    <w:lvl w:ilvl="0">
      <w:start w:val="1"/>
      <w:numFmt w:val="bullet"/>
      <w:lvlText w:val="•"/>
    </w:lvl>
  </w:abstractNum>
  <w:abstractNum w:abstractNumId="918">
    <w:lvl w:ilvl="0">
      <w:start w:val="1"/>
      <w:numFmt w:val="bullet"/>
      <w:lvlText w:val="•"/>
    </w:lvl>
  </w:abstractNum>
  <w:abstractNum w:abstractNumId="924">
    <w:lvl w:ilvl="0">
      <w:start w:val="1"/>
      <w:numFmt w:val="bullet"/>
      <w:lvlText w:val="•"/>
    </w:lvl>
  </w:abstractNum>
  <w:abstractNum w:abstractNumId="930">
    <w:lvl w:ilvl="0">
      <w:start w:val="1"/>
      <w:numFmt w:val="bullet"/>
      <w:lvlText w:val="•"/>
    </w:lvl>
  </w:abstractNum>
  <w:abstractNum w:abstractNumId="936">
    <w:lvl w:ilvl="0">
      <w:start w:val="1"/>
      <w:numFmt w:val="bullet"/>
      <w:lvlText w:val="•"/>
    </w:lvl>
  </w:abstractNum>
  <w:abstractNum w:abstractNumId="942">
    <w:lvl w:ilvl="0">
      <w:start w:val="1"/>
      <w:numFmt w:val="bullet"/>
      <w:lvlText w:val="•"/>
    </w:lvl>
  </w:abstractNum>
  <w:abstractNum w:abstractNumId="948">
    <w:lvl w:ilvl="0">
      <w:start w:val="1"/>
      <w:numFmt w:val="bullet"/>
      <w:lvlText w:val="•"/>
    </w:lvl>
  </w:abstractNum>
  <w:abstractNum w:abstractNumId="954">
    <w:lvl w:ilvl="0">
      <w:start w:val="1"/>
      <w:numFmt w:val="bullet"/>
      <w:lvlText w:val="•"/>
    </w:lvl>
  </w:abstractNum>
  <w:abstractNum w:abstractNumId="960">
    <w:lvl w:ilvl="0">
      <w:start w:val="1"/>
      <w:numFmt w:val="bullet"/>
      <w:lvlText w:val="•"/>
    </w:lvl>
  </w:abstractNum>
  <w:abstractNum w:abstractNumId="966">
    <w:lvl w:ilvl="0">
      <w:start w:val="1"/>
      <w:numFmt w:val="bullet"/>
      <w:lvlText w:val="•"/>
    </w:lvl>
  </w:abstractNum>
  <w:abstractNum w:abstractNumId="972">
    <w:lvl w:ilvl="0">
      <w:start w:val="1"/>
      <w:numFmt w:val="bullet"/>
      <w:lvlText w:val="•"/>
    </w:lvl>
  </w:abstractNum>
  <w:abstractNum w:abstractNumId="978">
    <w:lvl w:ilvl="0">
      <w:start w:val="1"/>
      <w:numFmt w:val="bullet"/>
      <w:lvlText w:val="•"/>
    </w:lvl>
  </w:abstractNum>
  <w:abstractNum w:abstractNumId="984">
    <w:lvl w:ilvl="0">
      <w:start w:val="1"/>
      <w:numFmt w:val="bullet"/>
      <w:lvlText w:val="•"/>
    </w:lvl>
  </w:abstractNum>
  <w:abstractNum w:abstractNumId="990">
    <w:lvl w:ilvl="0">
      <w:start w:val="1"/>
      <w:numFmt w:val="bullet"/>
      <w:lvlText w:val="•"/>
    </w:lvl>
  </w:abstractNum>
  <w:abstractNum w:abstractNumId="996">
    <w:lvl w:ilvl="0">
      <w:start w:val="1"/>
      <w:numFmt w:val="bullet"/>
      <w:lvlText w:val="•"/>
    </w:lvl>
  </w:abstractNum>
  <w:abstractNum w:abstractNumId="1002">
    <w:lvl w:ilvl="0">
      <w:start w:val="1"/>
      <w:numFmt w:val="bullet"/>
      <w:lvlText w:val="•"/>
    </w:lvl>
  </w:abstractNum>
  <w:abstractNum w:abstractNumId="1008">
    <w:lvl w:ilvl="0">
      <w:start w:val="1"/>
      <w:numFmt w:val="bullet"/>
      <w:lvlText w:val="•"/>
    </w:lvl>
  </w:abstractNum>
  <w:abstractNum w:abstractNumId="1014">
    <w:lvl w:ilvl="0">
      <w:start w:val="1"/>
      <w:numFmt w:val="bullet"/>
      <w:lvlText w:val="•"/>
    </w:lvl>
  </w:abstractNum>
  <w:abstractNum w:abstractNumId="1020">
    <w:lvl w:ilvl="0">
      <w:start w:val="1"/>
      <w:numFmt w:val="bullet"/>
      <w:lvlText w:val="•"/>
    </w:lvl>
  </w:abstractNum>
  <w:abstractNum w:abstractNumId="1026">
    <w:lvl w:ilvl="0">
      <w:start w:val="1"/>
      <w:numFmt w:val="bullet"/>
      <w:lvlText w:val="•"/>
    </w:lvl>
  </w:abstractNum>
  <w:abstractNum w:abstractNumId="1032">
    <w:lvl w:ilvl="0">
      <w:start w:val="1"/>
      <w:numFmt w:val="bullet"/>
      <w:lvlText w:val="•"/>
    </w:lvl>
  </w:abstractNum>
  <w:abstractNum w:abstractNumId="1038">
    <w:lvl w:ilvl="0">
      <w:start w:val="1"/>
      <w:numFmt w:val="bullet"/>
      <w:lvlText w:val="•"/>
    </w:lvl>
  </w:abstractNum>
  <w:abstractNum w:abstractNumId="1044">
    <w:lvl w:ilvl="0">
      <w:start w:val="1"/>
      <w:numFmt w:val="bullet"/>
      <w:lvlText w:val="•"/>
    </w:lvl>
  </w:abstractNum>
  <w:abstractNum w:abstractNumId="1050">
    <w:lvl w:ilvl="0">
      <w:start w:val="1"/>
      <w:numFmt w:val="bullet"/>
      <w:lvlText w:val="•"/>
    </w:lvl>
  </w:abstractNum>
  <w:abstractNum w:abstractNumId="1056">
    <w:lvl w:ilvl="0">
      <w:start w:val="1"/>
      <w:numFmt w:val="bullet"/>
      <w:lvlText w:val="•"/>
    </w:lvl>
  </w:abstractNum>
  <w:abstractNum w:abstractNumId="1062">
    <w:lvl w:ilvl="0">
      <w:start w:val="1"/>
      <w:numFmt w:val="bullet"/>
      <w:lvlText w:val="•"/>
    </w:lvl>
  </w:abstractNum>
  <w:abstractNum w:abstractNumId="1068">
    <w:lvl w:ilvl="0">
      <w:start w:val="1"/>
      <w:numFmt w:val="bullet"/>
      <w:lvlText w:val="•"/>
    </w:lvl>
  </w:abstractNum>
  <w:abstractNum w:abstractNumId="1074">
    <w:lvl w:ilvl="0">
      <w:start w:val="1"/>
      <w:numFmt w:val="bullet"/>
      <w:lvlText w:val="•"/>
    </w:lvl>
  </w:abstractNum>
  <w:abstractNum w:abstractNumId="1080">
    <w:lvl w:ilvl="0">
      <w:start w:val="1"/>
      <w:numFmt w:val="bullet"/>
      <w:lvlText w:val="•"/>
    </w:lvl>
  </w:abstractNum>
  <w:abstractNum w:abstractNumId="1086">
    <w:lvl w:ilvl="0">
      <w:start w:val="1"/>
      <w:numFmt w:val="bullet"/>
      <w:lvlText w:val="•"/>
    </w:lvl>
  </w:abstractNum>
  <w:abstractNum w:abstractNumId="1092">
    <w:lvl w:ilvl="0">
      <w:start w:val="1"/>
      <w:numFmt w:val="bullet"/>
      <w:lvlText w:val="•"/>
    </w:lvl>
  </w:abstractNum>
  <w:abstractNum w:abstractNumId="1098">
    <w:lvl w:ilvl="0">
      <w:start w:val="1"/>
      <w:numFmt w:val="bullet"/>
      <w:lvlText w:val="•"/>
    </w:lvl>
  </w:abstractNum>
  <w:abstractNum w:abstractNumId="1104">
    <w:lvl w:ilvl="0">
      <w:start w:val="1"/>
      <w:numFmt w:val="bullet"/>
      <w:lvlText w:val="•"/>
    </w:lvl>
  </w:abstractNum>
  <w:abstractNum w:abstractNumId="1110">
    <w:lvl w:ilvl="0">
      <w:start w:val="1"/>
      <w:numFmt w:val="bullet"/>
      <w:lvlText w:val="•"/>
    </w:lvl>
  </w:abstractNum>
  <w:abstractNum w:abstractNumId="1116">
    <w:lvl w:ilvl="0">
      <w:start w:val="1"/>
      <w:numFmt w:val="bullet"/>
      <w:lvlText w:val="•"/>
    </w:lvl>
  </w:abstractNum>
  <w:abstractNum w:abstractNumId="1122">
    <w:lvl w:ilvl="0">
      <w:start w:val="1"/>
      <w:numFmt w:val="bullet"/>
      <w:lvlText w:val="•"/>
    </w:lvl>
  </w:abstractNum>
  <w:abstractNum w:abstractNumId="1128">
    <w:lvl w:ilvl="0">
      <w:start w:val="1"/>
      <w:numFmt w:val="bullet"/>
      <w:lvlText w:val="•"/>
    </w:lvl>
  </w:abstractNum>
  <w:abstractNum w:abstractNumId="1134">
    <w:lvl w:ilvl="0">
      <w:start w:val="1"/>
      <w:numFmt w:val="bullet"/>
      <w:lvlText w:val="•"/>
    </w:lvl>
  </w:abstractNum>
  <w:abstractNum w:abstractNumId="1140">
    <w:lvl w:ilvl="0">
      <w:start w:val="1"/>
      <w:numFmt w:val="bullet"/>
      <w:lvlText w:val="•"/>
    </w:lvl>
  </w:abstractNum>
  <w:abstractNum w:abstractNumId="1146">
    <w:lvl w:ilvl="0">
      <w:start w:val="1"/>
      <w:numFmt w:val="bullet"/>
      <w:lvlText w:val="•"/>
    </w:lvl>
  </w:abstractNum>
  <w:abstractNum w:abstractNumId="1152">
    <w:lvl w:ilvl="0">
      <w:start w:val="1"/>
      <w:numFmt w:val="bullet"/>
      <w:lvlText w:val="•"/>
    </w:lvl>
  </w:abstractNum>
  <w:abstractNum w:abstractNumId="1158">
    <w:lvl w:ilvl="0">
      <w:start w:val="1"/>
      <w:numFmt w:val="bullet"/>
      <w:lvlText w:val="•"/>
    </w:lvl>
  </w:abstractNum>
  <w:abstractNum w:abstractNumId="1164">
    <w:lvl w:ilvl="0">
      <w:start w:val="1"/>
      <w:numFmt w:val="bullet"/>
      <w:lvlText w:val="•"/>
    </w:lvl>
  </w:abstractNum>
  <w:abstractNum w:abstractNumId="1170">
    <w:lvl w:ilvl="0">
      <w:start w:val="1"/>
      <w:numFmt w:val="bullet"/>
      <w:lvlText w:val="•"/>
    </w:lvl>
  </w:abstractNum>
  <w:abstractNum w:abstractNumId="1176">
    <w:lvl w:ilvl="0">
      <w:start w:val="1"/>
      <w:numFmt w:val="bullet"/>
      <w:lvlText w:val="•"/>
    </w:lvl>
  </w:abstractNum>
  <w:abstractNum w:abstractNumId="1182">
    <w:lvl w:ilvl="0">
      <w:start w:val="1"/>
      <w:numFmt w:val="bullet"/>
      <w:lvlText w:val="•"/>
    </w:lvl>
  </w:abstractNum>
  <w:abstractNum w:abstractNumId="1188">
    <w:lvl w:ilvl="0">
      <w:start w:val="1"/>
      <w:numFmt w:val="bullet"/>
      <w:lvlText w:val="•"/>
    </w:lvl>
  </w:abstractNum>
  <w:abstractNum w:abstractNumId="1194">
    <w:lvl w:ilvl="0">
      <w:start w:val="1"/>
      <w:numFmt w:val="bullet"/>
      <w:lvlText w:val="•"/>
    </w:lvl>
  </w:abstractNum>
  <w:abstractNum w:abstractNumId="1200">
    <w:lvl w:ilvl="0">
      <w:start w:val="1"/>
      <w:numFmt w:val="bullet"/>
      <w:lvlText w:val="•"/>
    </w:lvl>
  </w:abstractNum>
  <w:abstractNum w:abstractNumId="1206">
    <w:lvl w:ilvl="0">
      <w:start w:val="1"/>
      <w:numFmt w:val="bullet"/>
      <w:lvlText w:val="•"/>
    </w:lvl>
  </w:abstractNum>
  <w:abstractNum w:abstractNumId="1212">
    <w:lvl w:ilvl="0">
      <w:start w:val="1"/>
      <w:numFmt w:val="bullet"/>
      <w:lvlText w:val="•"/>
    </w:lvl>
  </w:abstractNum>
  <w:abstractNum w:abstractNumId="1218">
    <w:lvl w:ilvl="0">
      <w:start w:val="1"/>
      <w:numFmt w:val="bullet"/>
      <w:lvlText w:val="•"/>
    </w:lvl>
  </w:abstractNum>
  <w:abstractNum w:abstractNumId="1224">
    <w:lvl w:ilvl="0">
      <w:start w:val="1"/>
      <w:numFmt w:val="bullet"/>
      <w:lvlText w:val="•"/>
    </w:lvl>
  </w:abstractNum>
  <w:abstractNum w:abstractNumId="1230">
    <w:lvl w:ilvl="0">
      <w:start w:val="1"/>
      <w:numFmt w:val="bullet"/>
      <w:lvlText w:val="•"/>
    </w:lvl>
  </w:abstractNum>
  <w:abstractNum w:abstractNumId="1236">
    <w:lvl w:ilvl="0">
      <w:start w:val="1"/>
      <w:numFmt w:val="bullet"/>
      <w:lvlText w:val="•"/>
    </w:lvl>
  </w:abstractNum>
  <w:abstractNum w:abstractNumId="1242">
    <w:lvl w:ilvl="0">
      <w:start w:val="1"/>
      <w:numFmt w:val="bullet"/>
      <w:lvlText w:val="•"/>
    </w:lvl>
  </w:abstractNum>
  <w:abstractNum w:abstractNumId="1248">
    <w:lvl w:ilvl="0">
      <w:start w:val="1"/>
      <w:numFmt w:val="bullet"/>
      <w:lvlText w:val="•"/>
    </w:lvl>
  </w:abstractNum>
  <w:abstractNum w:abstractNumId="1254">
    <w:lvl w:ilvl="0">
      <w:start w:val="1"/>
      <w:numFmt w:val="bullet"/>
      <w:lvlText w:val="•"/>
    </w:lvl>
  </w:abstractNum>
  <w:abstractNum w:abstractNumId="1260">
    <w:lvl w:ilvl="0">
      <w:start w:val="1"/>
      <w:numFmt w:val="bullet"/>
      <w:lvlText w:val="•"/>
    </w:lvl>
  </w:abstractNum>
  <w:abstractNum w:abstractNumId="1266">
    <w:lvl w:ilvl="0">
      <w:start w:val="1"/>
      <w:numFmt w:val="bullet"/>
      <w:lvlText w:val="•"/>
    </w:lvl>
  </w:abstractNum>
  <w:abstractNum w:abstractNumId="1272">
    <w:lvl w:ilvl="0">
      <w:start w:val="1"/>
      <w:numFmt w:val="bullet"/>
      <w:lvlText w:val="•"/>
    </w:lvl>
  </w:abstractNum>
  <w:abstractNum w:abstractNumId="1278">
    <w:lvl w:ilvl="0">
      <w:start w:val="1"/>
      <w:numFmt w:val="bullet"/>
      <w:lvlText w:val="•"/>
    </w:lvl>
  </w:abstractNum>
  <w:abstractNum w:abstractNumId="1284">
    <w:lvl w:ilvl="0">
      <w:start w:val="1"/>
      <w:numFmt w:val="bullet"/>
      <w:lvlText w:val="•"/>
    </w:lvl>
  </w:abstractNum>
  <w:abstractNum w:abstractNumId="1290">
    <w:lvl w:ilvl="0">
      <w:start w:val="1"/>
      <w:numFmt w:val="bullet"/>
      <w:lvlText w:val="•"/>
    </w:lvl>
  </w:abstractNum>
  <w:abstractNum w:abstractNumId="1296">
    <w:lvl w:ilvl="0">
      <w:start w:val="1"/>
      <w:numFmt w:val="bullet"/>
      <w:lvlText w:val="•"/>
    </w:lvl>
  </w:abstractNum>
  <w:abstractNum w:abstractNumId="1302">
    <w:lvl w:ilvl="0">
      <w:start w:val="1"/>
      <w:numFmt w:val="bullet"/>
      <w:lvlText w:val="•"/>
    </w:lvl>
  </w:abstractNum>
  <w:abstractNum w:abstractNumId="1308">
    <w:lvl w:ilvl="0">
      <w:start w:val="1"/>
      <w:numFmt w:val="bullet"/>
      <w:lvlText w:val="•"/>
    </w:lvl>
  </w:abstractNum>
  <w:abstractNum w:abstractNumId="1314">
    <w:lvl w:ilvl="0">
      <w:start w:val="1"/>
      <w:numFmt w:val="bullet"/>
      <w:lvlText w:val="•"/>
    </w:lvl>
  </w:abstractNum>
  <w:abstractNum w:abstractNumId="1320">
    <w:lvl w:ilvl="0">
      <w:start w:val="1"/>
      <w:numFmt w:val="bullet"/>
      <w:lvlText w:val="•"/>
    </w:lvl>
  </w:abstractNum>
  <w:abstractNum w:abstractNumId="1326">
    <w:lvl w:ilvl="0">
      <w:start w:val="1"/>
      <w:numFmt w:val="bullet"/>
      <w:lvlText w:val="•"/>
    </w:lvl>
  </w:abstractNum>
  <w:abstractNum w:abstractNumId="1332">
    <w:lvl w:ilvl="0">
      <w:start w:val="1"/>
      <w:numFmt w:val="bullet"/>
      <w:lvlText w:val="•"/>
    </w:lvl>
  </w:abstractNum>
  <w:abstractNum w:abstractNumId="1338">
    <w:lvl w:ilvl="0">
      <w:start w:val="1"/>
      <w:numFmt w:val="bullet"/>
      <w:lvlText w:val="•"/>
    </w:lvl>
  </w:abstractNum>
  <w:abstractNum w:abstractNumId="1344">
    <w:lvl w:ilvl="0">
      <w:start w:val="1"/>
      <w:numFmt w:val="bullet"/>
      <w:lvlText w:val="•"/>
    </w:lvl>
  </w:abstractNum>
  <w:abstractNum w:abstractNumId="1350">
    <w:lvl w:ilvl="0">
      <w:start w:val="1"/>
      <w:numFmt w:val="bullet"/>
      <w:lvlText w:val="•"/>
    </w:lvl>
  </w:abstractNum>
  <w:abstractNum w:abstractNumId="1356">
    <w:lvl w:ilvl="0">
      <w:start w:val="1"/>
      <w:numFmt w:val="bullet"/>
      <w:lvlText w:val="•"/>
    </w:lvl>
  </w:abstractNum>
  <w:abstractNum w:abstractNumId="1362">
    <w:lvl w:ilvl="0">
      <w:start w:val="1"/>
      <w:numFmt w:val="bullet"/>
      <w:lvlText w:val="•"/>
    </w:lvl>
  </w:abstractNum>
  <w:abstractNum w:abstractNumId="1368">
    <w:lvl w:ilvl="0">
      <w:start w:val="1"/>
      <w:numFmt w:val="bullet"/>
      <w:lvlText w:val="•"/>
    </w:lvl>
  </w:abstractNum>
  <w:abstractNum w:abstractNumId="1374">
    <w:lvl w:ilvl="0">
      <w:start w:val="1"/>
      <w:numFmt w:val="bullet"/>
      <w:lvlText w:val="•"/>
    </w:lvl>
  </w:abstractNum>
  <w:abstractNum w:abstractNumId="1380">
    <w:lvl w:ilvl="0">
      <w:start w:val="1"/>
      <w:numFmt w:val="bullet"/>
      <w:lvlText w:val="•"/>
    </w:lvl>
  </w:abstractNum>
  <w:abstractNum w:abstractNumId="1386">
    <w:lvl w:ilvl="0">
      <w:start w:val="1"/>
      <w:numFmt w:val="bullet"/>
      <w:lvlText w:val="•"/>
    </w:lvl>
  </w:abstractNum>
  <w:abstractNum w:abstractNumId="1392">
    <w:lvl w:ilvl="0">
      <w:start w:val="1"/>
      <w:numFmt w:val="bullet"/>
      <w:lvlText w:val="•"/>
    </w:lvl>
  </w:abstractNum>
  <w:abstractNum w:abstractNumId="1398">
    <w:lvl w:ilvl="0">
      <w:start w:val="1"/>
      <w:numFmt w:val="bullet"/>
      <w:lvlText w:val="•"/>
    </w:lvl>
  </w:abstractNum>
  <w:abstractNum w:abstractNumId="1404">
    <w:lvl w:ilvl="0">
      <w:start w:val="1"/>
      <w:numFmt w:val="bullet"/>
      <w:lvlText w:val="•"/>
    </w:lvl>
  </w:abstractNum>
  <w:abstractNum w:abstractNumId="1410">
    <w:lvl w:ilvl="0">
      <w:start w:val="1"/>
      <w:numFmt w:val="bullet"/>
      <w:lvlText w:val="•"/>
    </w:lvl>
  </w:abstractNum>
  <w:abstractNum w:abstractNumId="1416">
    <w:lvl w:ilvl="0">
      <w:start w:val="1"/>
      <w:numFmt w:val="bullet"/>
      <w:lvlText w:val="•"/>
    </w:lvl>
  </w:abstractNum>
  <w:abstractNum w:abstractNumId="1422">
    <w:lvl w:ilvl="0">
      <w:start w:val="1"/>
      <w:numFmt w:val="bullet"/>
      <w:lvlText w:val="•"/>
    </w:lvl>
  </w:abstractNum>
  <w:abstractNum w:abstractNumId="1428">
    <w:lvl w:ilvl="0">
      <w:start w:val="1"/>
      <w:numFmt w:val="bullet"/>
      <w:lvlText w:val="•"/>
    </w:lvl>
  </w:abstractNum>
  <w:abstractNum w:abstractNumId="1434">
    <w:lvl w:ilvl="0">
      <w:start w:val="1"/>
      <w:numFmt w:val="bullet"/>
      <w:lvlText w:val="•"/>
    </w:lvl>
  </w:abstractNum>
  <w:abstractNum w:abstractNumId="1440">
    <w:lvl w:ilvl="0">
      <w:start w:val="1"/>
      <w:numFmt w:val="bullet"/>
      <w:lvlText w:val="•"/>
    </w:lvl>
  </w:abstractNum>
  <w:abstractNum w:abstractNumId="1446">
    <w:lvl w:ilvl="0">
      <w:start w:val="1"/>
      <w:numFmt w:val="bullet"/>
      <w:lvlText w:val="•"/>
    </w:lvl>
  </w:abstractNum>
  <w:abstractNum w:abstractNumId="1452">
    <w:lvl w:ilvl="0">
      <w:start w:val="1"/>
      <w:numFmt w:val="bullet"/>
      <w:lvlText w:val="•"/>
    </w:lvl>
  </w:abstractNum>
  <w:abstractNum w:abstractNumId="1458">
    <w:lvl w:ilvl="0">
      <w:start w:val="1"/>
      <w:numFmt w:val="bullet"/>
      <w:lvlText w:val="•"/>
    </w:lvl>
  </w:abstractNum>
  <w:abstractNum w:abstractNumId="1464">
    <w:lvl w:ilvl="0">
      <w:start w:val="1"/>
      <w:numFmt w:val="bullet"/>
      <w:lvlText w:val="•"/>
    </w:lvl>
  </w:abstractNum>
  <w:abstractNum w:abstractNumId="1470">
    <w:lvl w:ilvl="0">
      <w:start w:val="1"/>
      <w:numFmt w:val="bullet"/>
      <w:lvlText w:val="•"/>
    </w:lvl>
  </w:abstractNum>
  <w:abstractNum w:abstractNumId="1476">
    <w:lvl w:ilvl="0">
      <w:start w:val="1"/>
      <w:numFmt w:val="bullet"/>
      <w:lvlText w:val="•"/>
    </w:lvl>
  </w:abstractNum>
  <w:abstractNum w:abstractNumId="1482">
    <w:lvl w:ilvl="0">
      <w:start w:val="1"/>
      <w:numFmt w:val="bullet"/>
      <w:lvlText w:val="•"/>
    </w:lvl>
  </w:abstractNum>
  <w:abstractNum w:abstractNumId="1488">
    <w:lvl w:ilvl="0">
      <w:start w:val="1"/>
      <w:numFmt w:val="bullet"/>
      <w:lvlText w:val="•"/>
    </w:lvl>
  </w:abstractNum>
  <w:abstractNum w:abstractNumId="1494">
    <w:lvl w:ilvl="0">
      <w:start w:val="1"/>
      <w:numFmt w:val="bullet"/>
      <w:lvlText w:val="•"/>
    </w:lvl>
  </w:abstractNum>
  <w:abstractNum w:abstractNumId="1500">
    <w:lvl w:ilvl="0">
      <w:start w:val="1"/>
      <w:numFmt w:val="bullet"/>
      <w:lvlText w:val="•"/>
    </w:lvl>
  </w:abstractNum>
  <w:abstractNum w:abstractNumId="1506">
    <w:lvl w:ilvl="0">
      <w:start w:val="1"/>
      <w:numFmt w:val="bullet"/>
      <w:lvlText w:val="•"/>
    </w:lvl>
  </w:abstractNum>
  <w:abstractNum w:abstractNumId="1512">
    <w:lvl w:ilvl="0">
      <w:start w:val="1"/>
      <w:numFmt w:val="bullet"/>
      <w:lvlText w:val="•"/>
    </w:lvl>
  </w:abstractNum>
  <w:abstractNum w:abstractNumId="1518">
    <w:lvl w:ilvl="0">
      <w:start w:val="1"/>
      <w:numFmt w:val="bullet"/>
      <w:lvlText w:val="•"/>
    </w:lvl>
  </w:abstractNum>
  <w:abstractNum w:abstractNumId="1524">
    <w:lvl w:ilvl="0">
      <w:start w:val="1"/>
      <w:numFmt w:val="bullet"/>
      <w:lvlText w:val="•"/>
    </w:lvl>
  </w:abstractNum>
  <w:abstractNum w:abstractNumId="1530">
    <w:lvl w:ilvl="0">
      <w:start w:val="1"/>
      <w:numFmt w:val="bullet"/>
      <w:lvlText w:val="•"/>
    </w:lvl>
  </w:abstractNum>
  <w:abstractNum w:abstractNumId="1536">
    <w:lvl w:ilvl="0">
      <w:start w:val="1"/>
      <w:numFmt w:val="bullet"/>
      <w:lvlText w:val="•"/>
    </w:lvl>
  </w:abstractNum>
  <w:abstractNum w:abstractNumId="1542">
    <w:lvl w:ilvl="0">
      <w:start w:val="1"/>
      <w:numFmt w:val="bullet"/>
      <w:lvlText w:val="•"/>
    </w:lvl>
  </w:abstractNum>
  <w:abstractNum w:abstractNumId="1548">
    <w:lvl w:ilvl="0">
      <w:start w:val="1"/>
      <w:numFmt w:val="bullet"/>
      <w:lvlText w:val="•"/>
    </w:lvl>
  </w:abstractNum>
  <w:abstractNum w:abstractNumId="1554">
    <w:lvl w:ilvl="0">
      <w:start w:val="1"/>
      <w:numFmt w:val="bullet"/>
      <w:lvlText w:val="•"/>
    </w:lvl>
  </w:abstractNum>
  <w:abstractNum w:abstractNumId="1560">
    <w:lvl w:ilvl="0">
      <w:start w:val="1"/>
      <w:numFmt w:val="bullet"/>
      <w:lvlText w:val="•"/>
    </w:lvl>
  </w:abstractNum>
  <w:abstractNum w:abstractNumId="1566">
    <w:lvl w:ilvl="0">
      <w:start w:val="1"/>
      <w:numFmt w:val="bullet"/>
      <w:lvlText w:val="•"/>
    </w:lvl>
  </w:abstractNum>
  <w:abstractNum w:abstractNumId="1572">
    <w:lvl w:ilvl="0">
      <w:start w:val="1"/>
      <w:numFmt w:val="bullet"/>
      <w:lvlText w:val="•"/>
    </w:lvl>
  </w:abstractNum>
  <w:abstractNum w:abstractNumId="1578">
    <w:lvl w:ilvl="0">
      <w:start w:val="1"/>
      <w:numFmt w:val="bullet"/>
      <w:lvlText w:val="•"/>
    </w:lvl>
  </w:abstractNum>
  <w:abstractNum w:abstractNumId="1584">
    <w:lvl w:ilvl="0">
      <w:start w:val="1"/>
      <w:numFmt w:val="bullet"/>
      <w:lvlText w:val="•"/>
    </w:lvl>
  </w:abstractNum>
  <w:abstractNum w:abstractNumId="1590">
    <w:lvl w:ilvl="0">
      <w:start w:val="1"/>
      <w:numFmt w:val="bullet"/>
      <w:lvlText w:val="•"/>
    </w:lvl>
  </w:abstractNum>
  <w:abstractNum w:abstractNumId="1596">
    <w:lvl w:ilvl="0">
      <w:start w:val="1"/>
      <w:numFmt w:val="bullet"/>
      <w:lvlText w:val="•"/>
    </w:lvl>
  </w:abstractNum>
  <w:abstractNum w:abstractNumId="1602">
    <w:lvl w:ilvl="0">
      <w:start w:val="1"/>
      <w:numFmt w:val="bullet"/>
      <w:lvlText w:val="•"/>
    </w:lvl>
  </w:abstractNum>
  <w:abstractNum w:abstractNumId="1608">
    <w:lvl w:ilvl="0">
      <w:start w:val="1"/>
      <w:numFmt w:val="bullet"/>
      <w:lvlText w:val="•"/>
    </w:lvl>
  </w:abstractNum>
  <w:abstractNum w:abstractNumId="1614">
    <w:lvl w:ilvl="0">
      <w:start w:val="1"/>
      <w:numFmt w:val="bullet"/>
      <w:lvlText w:val="•"/>
    </w:lvl>
  </w:abstractNum>
  <w:abstractNum w:abstractNumId="1620">
    <w:lvl w:ilvl="0">
      <w:start w:val="1"/>
      <w:numFmt w:val="bullet"/>
      <w:lvlText w:val="•"/>
    </w:lvl>
  </w:abstractNum>
  <w:abstractNum w:abstractNumId="1626">
    <w:lvl w:ilvl="0">
      <w:start w:val="1"/>
      <w:numFmt w:val="bullet"/>
      <w:lvlText w:val="•"/>
    </w:lvl>
  </w:abstractNum>
  <w:abstractNum w:abstractNumId="1632">
    <w:lvl w:ilvl="0">
      <w:start w:val="1"/>
      <w:numFmt w:val="bullet"/>
      <w:lvlText w:val="•"/>
    </w:lvl>
  </w:abstractNum>
  <w:abstractNum w:abstractNumId="1638">
    <w:lvl w:ilvl="0">
      <w:start w:val="1"/>
      <w:numFmt w:val="bullet"/>
      <w:lvlText w:val="•"/>
    </w:lvl>
  </w:abstractNum>
  <w:abstractNum w:abstractNumId="1644">
    <w:lvl w:ilvl="0">
      <w:start w:val="1"/>
      <w:numFmt w:val="bullet"/>
      <w:lvlText w:val="•"/>
    </w:lvl>
  </w:abstractNum>
  <w:abstractNum w:abstractNumId="1650">
    <w:lvl w:ilvl="0">
      <w:start w:val="1"/>
      <w:numFmt w:val="bullet"/>
      <w:lvlText w:val="•"/>
    </w:lvl>
  </w:abstractNum>
  <w:abstractNum w:abstractNumId="1656">
    <w:lvl w:ilvl="0">
      <w:start w:val="1"/>
      <w:numFmt w:val="bullet"/>
      <w:lvlText w:val="•"/>
    </w:lvl>
  </w:abstractNum>
  <w:abstractNum w:abstractNumId="1662">
    <w:lvl w:ilvl="0">
      <w:start w:val="1"/>
      <w:numFmt w:val="bullet"/>
      <w:lvlText w:val="•"/>
    </w:lvl>
  </w:abstractNum>
  <w:abstractNum w:abstractNumId="1668">
    <w:lvl w:ilvl="0">
      <w:start w:val="1"/>
      <w:numFmt w:val="bullet"/>
      <w:lvlText w:val="•"/>
    </w:lvl>
  </w:abstractNum>
  <w:abstractNum w:abstractNumId="1674">
    <w:lvl w:ilvl="0">
      <w:start w:val="1"/>
      <w:numFmt w:val="bullet"/>
      <w:lvlText w:val="•"/>
    </w:lvl>
  </w:abstractNum>
  <w:abstractNum w:abstractNumId="1680">
    <w:lvl w:ilvl="0">
      <w:start w:val="1"/>
      <w:numFmt w:val="bullet"/>
      <w:lvlText w:val="•"/>
    </w:lvl>
  </w:abstractNum>
  <w:abstractNum w:abstractNumId="1686">
    <w:lvl w:ilvl="0">
      <w:start w:val="1"/>
      <w:numFmt w:val="bullet"/>
      <w:lvlText w:val="•"/>
    </w:lvl>
  </w:abstractNum>
  <w:abstractNum w:abstractNumId="1692">
    <w:lvl w:ilvl="0">
      <w:start w:val="1"/>
      <w:numFmt w:val="bullet"/>
      <w:lvlText w:val="•"/>
    </w:lvl>
  </w:abstractNum>
  <w:abstractNum w:abstractNumId="1698">
    <w:lvl w:ilvl="0">
      <w:start w:val="1"/>
      <w:numFmt w:val="bullet"/>
      <w:lvlText w:val="•"/>
    </w:lvl>
  </w:abstractNum>
  <w:abstractNum w:abstractNumId="1704">
    <w:lvl w:ilvl="0">
      <w:start w:val="1"/>
      <w:numFmt w:val="bullet"/>
      <w:lvlText w:val="•"/>
    </w:lvl>
  </w:abstractNum>
  <w:abstractNum w:abstractNumId="1710">
    <w:lvl w:ilvl="0">
      <w:start w:val="1"/>
      <w:numFmt w:val="bullet"/>
      <w:lvlText w:val="•"/>
    </w:lvl>
  </w:abstractNum>
  <w:abstractNum w:abstractNumId="1716">
    <w:lvl w:ilvl="0">
      <w:start w:val="1"/>
      <w:numFmt w:val="bullet"/>
      <w:lvlText w:val="•"/>
    </w:lvl>
  </w:abstractNum>
  <w:abstractNum w:abstractNumId="1722">
    <w:lvl w:ilvl="0">
      <w:start w:val="1"/>
      <w:numFmt w:val="bullet"/>
      <w:lvlText w:val="•"/>
    </w:lvl>
  </w:abstractNum>
  <w:abstractNum w:abstractNumId="1728">
    <w:lvl w:ilvl="0">
      <w:start w:val="1"/>
      <w:numFmt w:val="bullet"/>
      <w:lvlText w:val="•"/>
    </w:lvl>
  </w:abstractNum>
  <w:abstractNum w:abstractNumId="1734">
    <w:lvl w:ilvl="0">
      <w:start w:val="1"/>
      <w:numFmt w:val="bullet"/>
      <w:lvlText w:val="•"/>
    </w:lvl>
  </w:abstractNum>
  <w:abstractNum w:abstractNumId="1740">
    <w:lvl w:ilvl="0">
      <w:start w:val="1"/>
      <w:numFmt w:val="bullet"/>
      <w:lvlText w:val="•"/>
    </w:lvl>
  </w:abstractNum>
  <w:abstractNum w:abstractNumId="1746">
    <w:lvl w:ilvl="0">
      <w:start w:val="1"/>
      <w:numFmt w:val="bullet"/>
      <w:lvlText w:val="•"/>
    </w:lvl>
  </w:abstractNum>
  <w:abstractNum w:abstractNumId="1752">
    <w:lvl w:ilvl="0">
      <w:start w:val="1"/>
      <w:numFmt w:val="bullet"/>
      <w:lvlText w:val="•"/>
    </w:lvl>
  </w:abstractNum>
  <w:abstractNum w:abstractNumId="1758">
    <w:lvl w:ilvl="0">
      <w:start w:val="1"/>
      <w:numFmt w:val="bullet"/>
      <w:lvlText w:val="•"/>
    </w:lvl>
  </w:abstractNum>
  <w:abstractNum w:abstractNumId="1764">
    <w:lvl w:ilvl="0">
      <w:start w:val="1"/>
      <w:numFmt w:val="bullet"/>
      <w:lvlText w:val="•"/>
    </w:lvl>
  </w:abstractNum>
  <w:abstractNum w:abstractNumId="1770">
    <w:lvl w:ilvl="0">
      <w:start w:val="1"/>
      <w:numFmt w:val="bullet"/>
      <w:lvlText w:val="•"/>
    </w:lvl>
  </w:abstractNum>
  <w:abstractNum w:abstractNumId="1776">
    <w:lvl w:ilvl="0">
      <w:start w:val="1"/>
      <w:numFmt w:val="bullet"/>
      <w:lvlText w:val="•"/>
    </w:lvl>
  </w:abstractNum>
  <w:abstractNum w:abstractNumId="1782">
    <w:lvl w:ilvl="0">
      <w:start w:val="1"/>
      <w:numFmt w:val="bullet"/>
      <w:lvlText w:val="•"/>
    </w:lvl>
  </w:abstractNum>
  <w:abstractNum w:abstractNumId="1788">
    <w:lvl w:ilvl="0">
      <w:start w:val="1"/>
      <w:numFmt w:val="bullet"/>
      <w:lvlText w:val="•"/>
    </w:lvl>
  </w:abstractNum>
  <w:abstractNum w:abstractNumId="1794">
    <w:lvl w:ilvl="0">
      <w:start w:val="1"/>
      <w:numFmt w:val="bullet"/>
      <w:lvlText w:val="•"/>
    </w:lvl>
  </w:abstractNum>
  <w:abstractNum w:abstractNumId="1800">
    <w:lvl w:ilvl="0">
      <w:start w:val="1"/>
      <w:numFmt w:val="bullet"/>
      <w:lvlText w:val="•"/>
    </w:lvl>
  </w:abstractNum>
  <w:abstractNum w:abstractNumId="1806">
    <w:lvl w:ilvl="0">
      <w:start w:val="1"/>
      <w:numFmt w:val="bullet"/>
      <w:lvlText w:val="•"/>
    </w:lvl>
  </w:abstractNum>
  <w:abstractNum w:abstractNumId="1812">
    <w:lvl w:ilvl="0">
      <w:start w:val="1"/>
      <w:numFmt w:val="bullet"/>
      <w:lvlText w:val="•"/>
    </w:lvl>
  </w:abstractNum>
  <w:abstractNum w:abstractNumId="1818">
    <w:lvl w:ilvl="0">
      <w:start w:val="1"/>
      <w:numFmt w:val="bullet"/>
      <w:lvlText w:val="•"/>
    </w:lvl>
  </w:abstractNum>
  <w:abstractNum w:abstractNumId="1824">
    <w:lvl w:ilvl="0">
      <w:start w:val="1"/>
      <w:numFmt w:val="bullet"/>
      <w:lvlText w:val="•"/>
    </w:lvl>
  </w:abstractNum>
  <w:num w:numId="212">
    <w:abstractNumId w:val="1824"/>
  </w:num>
  <w:num w:numId="215">
    <w:abstractNumId w:val="1818"/>
  </w:num>
  <w:num w:numId="217">
    <w:abstractNumId w:val="1812"/>
  </w:num>
  <w:num w:numId="220">
    <w:abstractNumId w:val="1806"/>
  </w:num>
  <w:num w:numId="223">
    <w:abstractNumId w:val="1800"/>
  </w:num>
  <w:num w:numId="225">
    <w:abstractNumId w:val="1794"/>
  </w:num>
  <w:num w:numId="227">
    <w:abstractNumId w:val="1788"/>
  </w:num>
  <w:num w:numId="229">
    <w:abstractNumId w:val="1782"/>
  </w:num>
  <w:num w:numId="231">
    <w:abstractNumId w:val="1776"/>
  </w:num>
  <w:num w:numId="233">
    <w:abstractNumId w:val="1770"/>
  </w:num>
  <w:num w:numId="308">
    <w:abstractNumId w:val="1764"/>
  </w:num>
  <w:num w:numId="310">
    <w:abstractNumId w:val="1758"/>
  </w:num>
  <w:num w:numId="312">
    <w:abstractNumId w:val="1752"/>
  </w:num>
  <w:num w:numId="423">
    <w:abstractNumId w:val="1746"/>
  </w:num>
  <w:num w:numId="457">
    <w:abstractNumId w:val="1740"/>
  </w:num>
  <w:num w:numId="476">
    <w:abstractNumId w:val="1734"/>
  </w:num>
  <w:num w:numId="516">
    <w:abstractNumId w:val="1728"/>
  </w:num>
  <w:num w:numId="576">
    <w:abstractNumId w:val="1722"/>
  </w:num>
  <w:num w:numId="601">
    <w:abstractNumId w:val="1716"/>
  </w:num>
  <w:num w:numId="645">
    <w:abstractNumId w:val="1710"/>
  </w:num>
  <w:num w:numId="684">
    <w:abstractNumId w:val="1704"/>
  </w:num>
  <w:num w:numId="697">
    <w:abstractNumId w:val="1698"/>
  </w:num>
  <w:num w:numId="724">
    <w:abstractNumId w:val="1692"/>
  </w:num>
  <w:num w:numId="751">
    <w:abstractNumId w:val="1686"/>
  </w:num>
  <w:num w:numId="784">
    <w:abstractNumId w:val="1680"/>
  </w:num>
  <w:num w:numId="843">
    <w:abstractNumId w:val="1674"/>
  </w:num>
  <w:num w:numId="870">
    <w:abstractNumId w:val="1668"/>
  </w:num>
  <w:num w:numId="903">
    <w:abstractNumId w:val="1662"/>
  </w:num>
  <w:num w:numId="954">
    <w:abstractNumId w:val="1656"/>
  </w:num>
  <w:num w:numId="1004">
    <w:abstractNumId w:val="1650"/>
  </w:num>
  <w:num w:numId="1017">
    <w:abstractNumId w:val="1644"/>
  </w:num>
  <w:num w:numId="1052">
    <w:abstractNumId w:val="1638"/>
  </w:num>
  <w:num w:numId="1078">
    <w:abstractNumId w:val="1632"/>
  </w:num>
  <w:num w:numId="1103">
    <w:abstractNumId w:val="1626"/>
  </w:num>
  <w:num w:numId="1134">
    <w:abstractNumId w:val="1620"/>
  </w:num>
  <w:num w:numId="1164">
    <w:abstractNumId w:val="1614"/>
  </w:num>
  <w:num w:numId="1220">
    <w:abstractNumId w:val="1608"/>
  </w:num>
  <w:num w:numId="1261">
    <w:abstractNumId w:val="1602"/>
  </w:num>
  <w:num w:numId="1293">
    <w:abstractNumId w:val="1596"/>
  </w:num>
  <w:num w:numId="1391">
    <w:abstractNumId w:val="1590"/>
  </w:num>
  <w:num w:numId="1435">
    <w:abstractNumId w:val="1584"/>
  </w:num>
  <w:num w:numId="1476">
    <w:abstractNumId w:val="1578"/>
  </w:num>
  <w:num w:numId="1522">
    <w:abstractNumId w:val="1572"/>
  </w:num>
  <w:num w:numId="1557">
    <w:abstractNumId w:val="1566"/>
  </w:num>
  <w:num w:numId="1576">
    <w:abstractNumId w:val="1560"/>
  </w:num>
  <w:num w:numId="1666">
    <w:abstractNumId w:val="1554"/>
  </w:num>
  <w:num w:numId="1717">
    <w:abstractNumId w:val="1548"/>
  </w:num>
  <w:num w:numId="1755">
    <w:abstractNumId w:val="1542"/>
  </w:num>
  <w:num w:numId="1789">
    <w:abstractNumId w:val="1536"/>
  </w:num>
  <w:num w:numId="1808">
    <w:abstractNumId w:val="1530"/>
  </w:num>
  <w:num w:numId="1844">
    <w:abstractNumId w:val="1524"/>
  </w:num>
  <w:num w:numId="1871">
    <w:abstractNumId w:val="1518"/>
  </w:num>
  <w:num w:numId="1931">
    <w:abstractNumId w:val="1512"/>
  </w:num>
  <w:num w:numId="1958">
    <w:abstractNumId w:val="1506"/>
  </w:num>
  <w:num w:numId="2086">
    <w:abstractNumId w:val="1500"/>
  </w:num>
  <w:num w:numId="2103">
    <w:abstractNumId w:val="1494"/>
  </w:num>
  <w:num w:numId="2129">
    <w:abstractNumId w:val="1488"/>
  </w:num>
  <w:num w:numId="2176">
    <w:abstractNumId w:val="1482"/>
  </w:num>
  <w:num w:numId="2202">
    <w:abstractNumId w:val="1476"/>
  </w:num>
  <w:num w:numId="2231">
    <w:abstractNumId w:val="1470"/>
  </w:num>
  <w:num w:numId="2272">
    <w:abstractNumId w:val="1464"/>
  </w:num>
  <w:num w:numId="2308">
    <w:abstractNumId w:val="1458"/>
  </w:num>
  <w:num w:numId="2329">
    <w:abstractNumId w:val="1452"/>
  </w:num>
  <w:num w:numId="2356">
    <w:abstractNumId w:val="1446"/>
  </w:num>
  <w:num w:numId="2411">
    <w:abstractNumId w:val="1440"/>
  </w:num>
  <w:num w:numId="2450">
    <w:abstractNumId w:val="1434"/>
  </w:num>
  <w:num w:numId="2523">
    <w:abstractNumId w:val="1428"/>
  </w:num>
  <w:num w:numId="2553">
    <w:abstractNumId w:val="1422"/>
  </w:num>
  <w:num w:numId="2575">
    <w:abstractNumId w:val="1416"/>
  </w:num>
  <w:num w:numId="2606">
    <w:abstractNumId w:val="1410"/>
  </w:num>
  <w:num w:numId="2703">
    <w:abstractNumId w:val="1404"/>
  </w:num>
  <w:num w:numId="2743">
    <w:abstractNumId w:val="1398"/>
  </w:num>
  <w:num w:numId="2776">
    <w:abstractNumId w:val="1392"/>
  </w:num>
  <w:num w:numId="2818">
    <w:abstractNumId w:val="1386"/>
  </w:num>
  <w:num w:numId="2837">
    <w:abstractNumId w:val="1380"/>
  </w:num>
  <w:num w:numId="2877">
    <w:abstractNumId w:val="1374"/>
  </w:num>
  <w:num w:numId="2909">
    <w:abstractNumId w:val="1368"/>
  </w:num>
  <w:num w:numId="2955">
    <w:abstractNumId w:val="1362"/>
  </w:num>
  <w:num w:numId="3003">
    <w:abstractNumId w:val="1356"/>
  </w:num>
  <w:num w:numId="3025">
    <w:abstractNumId w:val="1350"/>
  </w:num>
  <w:num w:numId="3065">
    <w:abstractNumId w:val="1344"/>
  </w:num>
  <w:num w:numId="3118">
    <w:abstractNumId w:val="1338"/>
  </w:num>
  <w:num w:numId="3155">
    <w:abstractNumId w:val="1332"/>
  </w:num>
  <w:num w:numId="3190">
    <w:abstractNumId w:val="1326"/>
  </w:num>
  <w:num w:numId="3252">
    <w:abstractNumId w:val="1320"/>
  </w:num>
  <w:num w:numId="3284">
    <w:abstractNumId w:val="1314"/>
  </w:num>
  <w:num w:numId="3314">
    <w:abstractNumId w:val="1308"/>
  </w:num>
  <w:num w:numId="3366">
    <w:abstractNumId w:val="1302"/>
  </w:num>
  <w:num w:numId="3404">
    <w:abstractNumId w:val="1296"/>
  </w:num>
  <w:num w:numId="3439">
    <w:abstractNumId w:val="1290"/>
  </w:num>
  <w:num w:numId="3507">
    <w:abstractNumId w:val="1284"/>
  </w:num>
  <w:num w:numId="3562">
    <w:abstractNumId w:val="1278"/>
  </w:num>
  <w:num w:numId="3594">
    <w:abstractNumId w:val="1272"/>
  </w:num>
  <w:num w:numId="3641">
    <w:abstractNumId w:val="1266"/>
  </w:num>
  <w:num w:numId="3693">
    <w:abstractNumId w:val="1260"/>
  </w:num>
  <w:num w:numId="3727">
    <w:abstractNumId w:val="1254"/>
  </w:num>
  <w:num w:numId="3751">
    <w:abstractNumId w:val="1248"/>
  </w:num>
  <w:num w:numId="3779">
    <w:abstractNumId w:val="1242"/>
  </w:num>
  <w:num w:numId="3803">
    <w:abstractNumId w:val="1236"/>
  </w:num>
  <w:num w:numId="3898">
    <w:abstractNumId w:val="1230"/>
  </w:num>
  <w:num w:numId="3922">
    <w:abstractNumId w:val="1224"/>
  </w:num>
  <w:num w:numId="3951">
    <w:abstractNumId w:val="1218"/>
  </w:num>
  <w:num w:numId="3980">
    <w:abstractNumId w:val="1212"/>
  </w:num>
  <w:num w:numId="4024">
    <w:abstractNumId w:val="1206"/>
  </w:num>
  <w:num w:numId="4062">
    <w:abstractNumId w:val="1200"/>
  </w:num>
  <w:num w:numId="4099">
    <w:abstractNumId w:val="1194"/>
  </w:num>
  <w:num w:numId="4113">
    <w:abstractNumId w:val="1188"/>
  </w:num>
  <w:num w:numId="4188">
    <w:abstractNumId w:val="1182"/>
  </w:num>
  <w:num w:numId="4194">
    <w:abstractNumId w:val="1176"/>
  </w:num>
  <w:num w:numId="4241">
    <w:abstractNumId w:val="1170"/>
  </w:num>
  <w:num w:numId="4243">
    <w:abstractNumId w:val="1164"/>
  </w:num>
  <w:num w:numId="4275">
    <w:abstractNumId w:val="1158"/>
  </w:num>
  <w:num w:numId="4277">
    <w:abstractNumId w:val="1152"/>
  </w:num>
  <w:num w:numId="4279">
    <w:abstractNumId w:val="1146"/>
  </w:num>
  <w:num w:numId="4301">
    <w:abstractNumId w:val="1140"/>
  </w:num>
  <w:num w:numId="4334">
    <w:abstractNumId w:val="1134"/>
  </w:num>
  <w:num w:numId="4353">
    <w:abstractNumId w:val="1128"/>
  </w:num>
  <w:num w:numId="4364">
    <w:abstractNumId w:val="1122"/>
  </w:num>
  <w:num w:numId="4448">
    <w:abstractNumId w:val="1116"/>
  </w:num>
  <w:num w:numId="4472">
    <w:abstractNumId w:val="1110"/>
  </w:num>
  <w:num w:numId="4491">
    <w:abstractNumId w:val="1104"/>
  </w:num>
  <w:num w:numId="4514">
    <w:abstractNumId w:val="1098"/>
  </w:num>
  <w:num w:numId="4558">
    <w:abstractNumId w:val="1092"/>
  </w:num>
  <w:num w:numId="4578">
    <w:abstractNumId w:val="1086"/>
  </w:num>
  <w:num w:numId="4613">
    <w:abstractNumId w:val="1080"/>
  </w:num>
  <w:num w:numId="4637">
    <w:abstractNumId w:val="1074"/>
  </w:num>
  <w:num w:numId="4677">
    <w:abstractNumId w:val="1068"/>
  </w:num>
  <w:num w:numId="4692">
    <w:abstractNumId w:val="1062"/>
  </w:num>
  <w:num w:numId="4717">
    <w:abstractNumId w:val="1056"/>
  </w:num>
  <w:num w:numId="4741">
    <w:abstractNumId w:val="1050"/>
  </w:num>
  <w:num w:numId="4812">
    <w:abstractNumId w:val="1044"/>
  </w:num>
  <w:num w:numId="4841">
    <w:abstractNumId w:val="1038"/>
  </w:num>
  <w:num w:numId="4880">
    <w:abstractNumId w:val="1032"/>
  </w:num>
  <w:num w:numId="4911">
    <w:abstractNumId w:val="1026"/>
  </w:num>
  <w:num w:numId="4932">
    <w:abstractNumId w:val="1020"/>
  </w:num>
  <w:num w:numId="4959">
    <w:abstractNumId w:val="1014"/>
  </w:num>
  <w:num w:numId="4961">
    <w:abstractNumId w:val="1008"/>
  </w:num>
  <w:num w:numId="4992">
    <w:abstractNumId w:val="1002"/>
  </w:num>
  <w:num w:numId="5019">
    <w:abstractNumId w:val="996"/>
  </w:num>
  <w:num w:numId="5037">
    <w:abstractNumId w:val="990"/>
  </w:num>
  <w:num w:numId="5053">
    <w:abstractNumId w:val="984"/>
  </w:num>
  <w:num w:numId="5080">
    <w:abstractNumId w:val="978"/>
  </w:num>
  <w:num w:numId="5097">
    <w:abstractNumId w:val="972"/>
  </w:num>
  <w:num w:numId="5149">
    <w:abstractNumId w:val="966"/>
  </w:num>
  <w:num w:numId="5196">
    <w:abstractNumId w:val="960"/>
  </w:num>
  <w:num w:numId="5215">
    <w:abstractNumId w:val="954"/>
  </w:num>
  <w:num w:numId="5299">
    <w:abstractNumId w:val="948"/>
  </w:num>
  <w:num w:numId="5330">
    <w:abstractNumId w:val="942"/>
  </w:num>
  <w:num w:numId="5355">
    <w:abstractNumId w:val="936"/>
  </w:num>
  <w:num w:numId="5377">
    <w:abstractNumId w:val="930"/>
  </w:num>
  <w:num w:numId="5407">
    <w:abstractNumId w:val="924"/>
  </w:num>
  <w:num w:numId="5436">
    <w:abstractNumId w:val="918"/>
  </w:num>
  <w:num w:numId="5512">
    <w:abstractNumId w:val="912"/>
  </w:num>
  <w:num w:numId="5540">
    <w:abstractNumId w:val="906"/>
  </w:num>
  <w:num w:numId="5575">
    <w:abstractNumId w:val="900"/>
  </w:num>
  <w:num w:numId="5644">
    <w:abstractNumId w:val="894"/>
  </w:num>
  <w:num w:numId="5673">
    <w:abstractNumId w:val="888"/>
  </w:num>
  <w:num w:numId="5729">
    <w:abstractNumId w:val="882"/>
  </w:num>
  <w:num w:numId="5763">
    <w:abstractNumId w:val="876"/>
  </w:num>
  <w:num w:numId="5799">
    <w:abstractNumId w:val="870"/>
  </w:num>
  <w:num w:numId="5845">
    <w:abstractNumId w:val="864"/>
  </w:num>
  <w:num w:numId="5858">
    <w:abstractNumId w:val="858"/>
  </w:num>
  <w:num w:numId="5876">
    <w:abstractNumId w:val="852"/>
  </w:num>
  <w:num w:numId="5890">
    <w:abstractNumId w:val="846"/>
  </w:num>
  <w:num w:numId="5930">
    <w:abstractNumId w:val="840"/>
  </w:num>
  <w:num w:numId="5968">
    <w:abstractNumId w:val="834"/>
  </w:num>
  <w:num w:numId="5986">
    <w:abstractNumId w:val="828"/>
  </w:num>
  <w:num w:numId="6034">
    <w:abstractNumId w:val="822"/>
  </w:num>
  <w:num w:numId="6036">
    <w:abstractNumId w:val="816"/>
  </w:num>
  <w:num w:numId="6038">
    <w:abstractNumId w:val="810"/>
  </w:num>
  <w:num w:numId="6040">
    <w:abstractNumId w:val="804"/>
  </w:num>
  <w:num w:numId="6069">
    <w:abstractNumId w:val="798"/>
  </w:num>
  <w:num w:numId="6104">
    <w:abstractNumId w:val="792"/>
  </w:num>
  <w:num w:numId="6167">
    <w:abstractNumId w:val="786"/>
  </w:num>
  <w:num w:numId="6188">
    <w:abstractNumId w:val="780"/>
  </w:num>
  <w:num w:numId="6226">
    <w:abstractNumId w:val="774"/>
  </w:num>
  <w:num w:numId="6230">
    <w:abstractNumId w:val="768"/>
  </w:num>
  <w:num w:numId="6287">
    <w:abstractNumId w:val="762"/>
  </w:num>
  <w:num w:numId="6324">
    <w:abstractNumId w:val="756"/>
  </w:num>
  <w:num w:numId="6353">
    <w:abstractNumId w:val="750"/>
  </w:num>
  <w:num w:numId="6384">
    <w:abstractNumId w:val="744"/>
  </w:num>
  <w:num w:numId="6434">
    <w:abstractNumId w:val="738"/>
  </w:num>
  <w:num w:numId="6463">
    <w:abstractNumId w:val="732"/>
  </w:num>
  <w:num w:numId="6479">
    <w:abstractNumId w:val="726"/>
  </w:num>
  <w:num w:numId="6501">
    <w:abstractNumId w:val="720"/>
  </w:num>
  <w:num w:numId="6534">
    <w:abstractNumId w:val="714"/>
  </w:num>
  <w:num w:numId="6595">
    <w:abstractNumId w:val="708"/>
  </w:num>
  <w:num w:numId="6619">
    <w:abstractNumId w:val="702"/>
  </w:num>
  <w:num w:numId="6630">
    <w:abstractNumId w:val="696"/>
  </w:num>
  <w:num w:numId="6649">
    <w:abstractNumId w:val="690"/>
  </w:num>
  <w:num w:numId="6677">
    <w:abstractNumId w:val="684"/>
  </w:num>
  <w:num w:numId="6704">
    <w:abstractNumId w:val="678"/>
  </w:num>
  <w:num w:numId="6786">
    <w:abstractNumId w:val="672"/>
  </w:num>
  <w:num w:numId="6823">
    <w:abstractNumId w:val="666"/>
  </w:num>
  <w:num w:numId="6854">
    <w:abstractNumId w:val="660"/>
  </w:num>
  <w:num w:numId="6976">
    <w:abstractNumId w:val="654"/>
  </w:num>
  <w:num w:numId="6980">
    <w:abstractNumId w:val="648"/>
  </w:num>
  <w:num w:numId="7000">
    <w:abstractNumId w:val="642"/>
  </w:num>
  <w:num w:numId="7020">
    <w:abstractNumId w:val="636"/>
  </w:num>
  <w:num w:numId="7050">
    <w:abstractNumId w:val="630"/>
  </w:num>
  <w:num w:numId="7061">
    <w:abstractNumId w:val="624"/>
  </w:num>
  <w:num w:numId="7086">
    <w:abstractNumId w:val="618"/>
  </w:num>
  <w:num w:numId="7130">
    <w:abstractNumId w:val="612"/>
  </w:num>
  <w:num w:numId="7163">
    <w:abstractNumId w:val="606"/>
  </w:num>
  <w:num w:numId="7184">
    <w:abstractNumId w:val="600"/>
  </w:num>
  <w:num w:numId="7206">
    <w:abstractNumId w:val="594"/>
  </w:num>
  <w:num w:numId="7218">
    <w:abstractNumId w:val="588"/>
  </w:num>
  <w:num w:numId="7234">
    <w:abstractNumId w:val="582"/>
  </w:num>
  <w:num w:numId="7245">
    <w:abstractNumId w:val="576"/>
  </w:num>
  <w:num w:numId="7260">
    <w:abstractNumId w:val="570"/>
  </w:num>
  <w:num w:numId="7286">
    <w:abstractNumId w:val="564"/>
  </w:num>
  <w:num w:numId="7305">
    <w:abstractNumId w:val="558"/>
  </w:num>
  <w:num w:numId="7335">
    <w:abstractNumId w:val="552"/>
  </w:num>
  <w:num w:numId="7357">
    <w:abstractNumId w:val="546"/>
  </w:num>
  <w:num w:numId="7360">
    <w:abstractNumId w:val="540"/>
  </w:num>
  <w:num w:numId="7394">
    <w:abstractNumId w:val="534"/>
  </w:num>
  <w:num w:numId="7415">
    <w:abstractNumId w:val="528"/>
  </w:num>
  <w:num w:numId="7440">
    <w:abstractNumId w:val="522"/>
  </w:num>
  <w:num w:numId="7459">
    <w:abstractNumId w:val="516"/>
  </w:num>
  <w:num w:numId="7476">
    <w:abstractNumId w:val="510"/>
  </w:num>
  <w:num w:numId="7478">
    <w:abstractNumId w:val="504"/>
  </w:num>
  <w:num w:numId="7503">
    <w:abstractNumId w:val="498"/>
  </w:num>
  <w:num w:numId="7548">
    <w:abstractNumId w:val="492"/>
  </w:num>
  <w:num w:numId="7568">
    <w:abstractNumId w:val="486"/>
  </w:num>
  <w:num w:numId="7630">
    <w:abstractNumId w:val="480"/>
  </w:num>
  <w:num w:numId="7691">
    <w:abstractNumId w:val="474"/>
  </w:num>
  <w:num w:numId="7693">
    <w:abstractNumId w:val="468"/>
  </w:num>
  <w:num w:numId="7714">
    <w:abstractNumId w:val="462"/>
  </w:num>
  <w:num w:numId="7737">
    <w:abstractNumId w:val="456"/>
  </w:num>
  <w:num w:numId="7757">
    <w:abstractNumId w:val="450"/>
  </w:num>
  <w:num w:numId="7807">
    <w:abstractNumId w:val="444"/>
  </w:num>
  <w:num w:numId="7856">
    <w:abstractNumId w:val="438"/>
  </w:num>
  <w:num w:numId="7874">
    <w:abstractNumId w:val="432"/>
  </w:num>
  <w:num w:numId="7933">
    <w:abstractNumId w:val="426"/>
  </w:num>
  <w:num w:numId="7972">
    <w:abstractNumId w:val="420"/>
  </w:num>
  <w:num w:numId="7987">
    <w:abstractNumId w:val="414"/>
  </w:num>
  <w:num w:numId="8010">
    <w:abstractNumId w:val="408"/>
  </w:num>
  <w:num w:numId="8053">
    <w:abstractNumId w:val="402"/>
  </w:num>
  <w:num w:numId="8087">
    <w:abstractNumId w:val="396"/>
  </w:num>
  <w:num w:numId="8098">
    <w:abstractNumId w:val="390"/>
  </w:num>
  <w:num w:numId="8123">
    <w:abstractNumId w:val="384"/>
  </w:num>
  <w:num w:numId="8166">
    <w:abstractNumId w:val="378"/>
  </w:num>
  <w:num w:numId="8197">
    <w:abstractNumId w:val="372"/>
  </w:num>
  <w:num w:numId="8228">
    <w:abstractNumId w:val="366"/>
  </w:num>
  <w:num w:numId="8279">
    <w:abstractNumId w:val="360"/>
  </w:num>
  <w:num w:numId="8319">
    <w:abstractNumId w:val="354"/>
  </w:num>
  <w:num w:numId="8346">
    <w:abstractNumId w:val="348"/>
  </w:num>
  <w:num w:numId="8381">
    <w:abstractNumId w:val="342"/>
  </w:num>
  <w:num w:numId="8418">
    <w:abstractNumId w:val="336"/>
  </w:num>
  <w:num w:numId="8470">
    <w:abstractNumId w:val="330"/>
  </w:num>
  <w:num w:numId="8489">
    <w:abstractNumId w:val="324"/>
  </w:num>
  <w:num w:numId="8536">
    <w:abstractNumId w:val="318"/>
  </w:num>
  <w:num w:numId="8554">
    <w:abstractNumId w:val="312"/>
  </w:num>
  <w:num w:numId="8572">
    <w:abstractNumId w:val="306"/>
  </w:num>
  <w:num w:numId="8617">
    <w:abstractNumId w:val="300"/>
  </w:num>
  <w:num w:numId="9456">
    <w:abstractNumId w:val="294"/>
  </w:num>
  <w:num w:numId="9971">
    <w:abstractNumId w:val="288"/>
  </w:num>
  <w:num w:numId="10349">
    <w:abstractNumId w:val="282"/>
  </w:num>
  <w:num w:numId="10361">
    <w:abstractNumId w:val="276"/>
  </w:num>
  <w:num w:numId="10409">
    <w:abstractNumId w:val="270"/>
  </w:num>
  <w:num w:numId="10411">
    <w:abstractNumId w:val="264"/>
  </w:num>
  <w:num w:numId="10487">
    <w:abstractNumId w:val="258"/>
  </w:num>
  <w:num w:numId="10536">
    <w:abstractNumId w:val="252"/>
  </w:num>
  <w:num w:numId="10560">
    <w:abstractNumId w:val="246"/>
  </w:num>
  <w:num w:numId="10709">
    <w:abstractNumId w:val="240"/>
  </w:num>
  <w:num w:numId="10798">
    <w:abstractNumId w:val="234"/>
  </w:num>
  <w:num w:numId="10801">
    <w:abstractNumId w:val="228"/>
  </w:num>
  <w:num w:numId="10883">
    <w:abstractNumId w:val="222"/>
  </w:num>
  <w:num w:numId="10886">
    <w:abstractNumId w:val="216"/>
  </w:num>
  <w:num w:numId="11230">
    <w:abstractNumId w:val="210"/>
  </w:num>
  <w:num w:numId="11234">
    <w:abstractNumId w:val="204"/>
  </w:num>
  <w:num w:numId="11237">
    <w:abstractNumId w:val="198"/>
  </w:num>
  <w:num w:numId="11239">
    <w:abstractNumId w:val="192"/>
  </w:num>
  <w:num w:numId="11241">
    <w:abstractNumId w:val="186"/>
  </w:num>
  <w:num w:numId="11243">
    <w:abstractNumId w:val="180"/>
  </w:num>
  <w:num w:numId="11245">
    <w:abstractNumId w:val="174"/>
  </w:num>
  <w:num w:numId="11247">
    <w:abstractNumId w:val="168"/>
  </w:num>
  <w:num w:numId="11249">
    <w:abstractNumId w:val="162"/>
  </w:num>
  <w:num w:numId="11251">
    <w:abstractNumId w:val="156"/>
  </w:num>
  <w:num w:numId="11253">
    <w:abstractNumId w:val="150"/>
  </w:num>
  <w:num w:numId="11255">
    <w:abstractNumId w:val="144"/>
  </w:num>
  <w:num w:numId="11257">
    <w:abstractNumId w:val="138"/>
  </w:num>
  <w:num w:numId="11259">
    <w:abstractNumId w:val="132"/>
  </w:num>
  <w:num w:numId="11261">
    <w:abstractNumId w:val="126"/>
  </w:num>
  <w:num w:numId="11263">
    <w:abstractNumId w:val="120"/>
  </w:num>
  <w:num w:numId="11265">
    <w:abstractNumId w:val="114"/>
  </w:num>
  <w:num w:numId="11267">
    <w:abstractNumId w:val="108"/>
  </w:num>
  <w:num w:numId="11269">
    <w:abstractNumId w:val="102"/>
  </w:num>
  <w:num w:numId="11271">
    <w:abstractNumId w:val="96"/>
  </w:num>
  <w:num w:numId="11274">
    <w:abstractNumId w:val="90"/>
  </w:num>
  <w:num w:numId="11276">
    <w:abstractNumId w:val="84"/>
  </w:num>
  <w:num w:numId="11278">
    <w:abstractNumId w:val="78"/>
  </w:num>
  <w:num w:numId="11280">
    <w:abstractNumId w:val="72"/>
  </w:num>
  <w:num w:numId="11282">
    <w:abstractNumId w:val="66"/>
  </w:num>
  <w:num w:numId="11284">
    <w:abstractNumId w:val="60"/>
  </w:num>
  <w:num w:numId="11286">
    <w:abstractNumId w:val="54"/>
  </w:num>
  <w:num w:numId="11288">
    <w:abstractNumId w:val="48"/>
  </w:num>
  <w:num w:numId="11290">
    <w:abstractNumId w:val="42"/>
  </w:num>
  <w:num w:numId="11292">
    <w:abstractNumId w:val="36"/>
  </w:num>
  <w:num w:numId="11294">
    <w:abstractNumId w:val="30"/>
  </w:num>
  <w:num w:numId="11299">
    <w:abstractNumId w:val="24"/>
  </w:num>
  <w:num w:numId="11304">
    <w:abstractNumId w:val="18"/>
  </w:num>
  <w:num w:numId="11307">
    <w:abstractNumId w:val="12"/>
  </w:num>
  <w:num w:numId="11309">
    <w:abstractNumId w:val="6"/>
  </w:num>
  <w:num w:numId="11311">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ode="External" Target="https://bg.wikipedia.org/wiki/%D0%9E%D0%B1%D0%BB%D0%B0%D1%81%D1%82_%D0%91%D0%BB%D0%B0%D0%B3%D0%BE%D0%B5%D0%B2%D0%B3%D1%80%D0%B0%D0%B4" Id="docRId7" Type="http://schemas.openxmlformats.org/officeDocument/2006/relationships/hyperlink" /><Relationship TargetMode="External" Target="https://bg.wikipedia.org/wiki/%D0%9E%D0%B1%D0%BB%D0%B0%D1%81%D1%82_%D0%A1%D1%82%D0%B0%D1%80%D0%B0_%D0%97%D0%B0%D0%B3%D0%BE%D1%80%D0%B0" Id="docRId14" Type="http://schemas.openxmlformats.org/officeDocument/2006/relationships/hyperlink" /><Relationship TargetMode="External" Target="https://bg.wikipedia.org/wiki/%D0%9E%D0%B1%D0%BB%D0%B0%D1%81%D1%82_%D0%A0%D1%83%D1%81%D0%B5" Id="docRId23" Type="http://schemas.openxmlformats.org/officeDocument/2006/relationships/hyperlink" /><Relationship TargetMode="External" Target="https://bg.wikipedia.org/wiki/%D0%A1%D0%BE%D1%84%D0%B8%D0%B9%D1%81%D0%BA%D0%B0_%D0%BE%D0%B1%D0%BB%D0%B0%D1%81%D1%82" Id="docRId6" Type="http://schemas.openxmlformats.org/officeDocument/2006/relationships/hyperlink" /><Relationship Target="media/image0.wmf" Id="docRId1" Type="http://schemas.openxmlformats.org/officeDocument/2006/relationships/image" /><Relationship TargetMode="External" Target="https://bg.wikipedia.org/wiki/%D0%9E%D0%B1%D0%BB%D0%B0%D1%81%D1%82_%D0%A1%D0%BB%D0%B8%D0%B2%D0%B5%D0%BD" Id="docRId15" Type="http://schemas.openxmlformats.org/officeDocument/2006/relationships/hyperlink" /><Relationship TargetMode="External" Target="https://bg.wikipedia.org/wiki/%D0%9E%D0%B1%D0%BB%D0%B0%D1%81%D1%82_%D0%93%D0%B0%D0%B1%D1%80%D0%BE%D0%B2%D0%BE" Id="docRId22" Type="http://schemas.openxmlformats.org/officeDocument/2006/relationships/hyperlink" /><Relationship TargetMode="External" Target="https://bg.wikipedia.org/wiki/%D0%9E%D0%B1%D0%BB%D0%B0%D1%81%D1%82_%D0%9F%D0%B0%D0%B7%D0%B0%D1%80%D0%B4%D0%B6%D0%B8%D0%BA" Id="docRId9" Type="http://schemas.openxmlformats.org/officeDocument/2006/relationships/hyperlink" /><Relationship Target="embeddings/oleObject0.bin" Id="docRId0" Type="http://schemas.openxmlformats.org/officeDocument/2006/relationships/oleObject" /><Relationship TargetMode="External" Target="https://bg.wikipedia.org/wiki/%D0%9E%D0%B1%D0%BB%D0%B0%D1%81%D1%82_%D0%A5%D0%B0%D1%81%D0%BA%D0%BE%D0%B2%D0%BE" Id="docRId12" Type="http://schemas.openxmlformats.org/officeDocument/2006/relationships/hyperlink" /><Relationship TargetMode="External" Target="https://bg.wikipedia.org/wiki/%D0%9E%D0%B1%D0%BB%D0%B0%D1%81%D1%82_%D0%A8%D1%83%D0%BC%D0%B5%D0%BD" Id="docRId21" Type="http://schemas.openxmlformats.org/officeDocument/2006/relationships/hyperlink" /><Relationship Target="embeddings/oleObject3.bin" Id="docRId29" Type="http://schemas.openxmlformats.org/officeDocument/2006/relationships/oleObject" /><Relationship TargetMode="External" Target="https://bg.wikipedia.org/wiki/%D0%9E%D0%B1%D0%BB%D0%B0%D1%81%D1%82_%D0%9F%D0%B5%D1%80%D0%BD%D0%B8%D0%BA" Id="docRId8" Type="http://schemas.openxmlformats.org/officeDocument/2006/relationships/hyperlink" /><Relationship TargetMode="External" Target="https://bg.wikipedia.org/wiki/%D0%9E%D0%B1%D0%BB%D0%B0%D1%81%D1%82_%D0%9A%D1%8A%D1%80%D0%B4%D0%B6%D0%B0%D0%BB%D0%B8" Id="docRId13" Type="http://schemas.openxmlformats.org/officeDocument/2006/relationships/hyperlink" /><Relationship TargetMode="External" Target="https://bg.wikipedia.org/wiki/%D0%9E%D0%B1%D0%BB%D0%B0%D1%81%D1%82_%D0%A2%D1%8A%D1%80%D0%B3%D0%BE%D0%B2%D0%B8%D1%89%D0%B5" Id="docRId20" Type="http://schemas.openxmlformats.org/officeDocument/2006/relationships/hyperlink" /><Relationship TargetMode="External" Target="https://registarnazdraveopazvaneto.com/%D0%BC%D0%BD%D0%BE%D0%B3%D0%BE%D0%BF%D1%80%D0%BE%D1%84%D0%B8%D0%BB%D0%BD%D0%B0-%D0%B1%D0%BE%D0%BB%D0%BD%D0%B8%D1%86%D0%B0-%D0%B7%D0%B0-%D0%B0%D0%BA%D1%82%D0%B8%D0%B2%D0%BD%D0%BE-%D0%BB%D0%B5%D1%87%D0%B5%D0%BD%D0%B8%D0%B5-%D0%BF%D0%BE%D0%BF%D0%BE%D0%B2%D0%BE/%D1%81%D1%82%D1%80%D1%83%D0%BA%D1%82%D1%83%D1%80%D0%B0" Id="docRId28" Type="http://schemas.openxmlformats.org/officeDocument/2006/relationships/hyperlink" /><Relationship Target="media/image1.wmf" Id="docRId3" Type="http://schemas.openxmlformats.org/officeDocument/2006/relationships/image" /><Relationship TargetMode="External" Target="https://bg.wikipedia.org/wiki/%D0%9E%D0%B1%D0%BB%D0%B0%D1%81%D1%82_%D0%9F%D0%BB%D0%BE%D0%B2%D0%B4%D0%B8%D0%B2" Id="docRId10" Type="http://schemas.openxmlformats.org/officeDocument/2006/relationships/hyperlink" /><Relationship TargetMode="External" Target="https://bg.wikipedia.org/wiki/%D0%9E%D0%B1%D0%BB%D0%B0%D1%81%D1%82_%D0%92%D0%B0%D1%80%D0%BD%D0%B0" Id="docRId18" Type="http://schemas.openxmlformats.org/officeDocument/2006/relationships/hyperlink" /><Relationship Target="embeddings/oleObject1.bin" Id="docRId2" Type="http://schemas.openxmlformats.org/officeDocument/2006/relationships/oleObject" /><Relationship TargetMode="External" Target="https://www.nsi.bg/" Id="docRId27" Type="http://schemas.openxmlformats.org/officeDocument/2006/relationships/hyperlink" /><Relationship Target="media/image3.wmf" Id="docRId30" Type="http://schemas.openxmlformats.org/officeDocument/2006/relationships/image" /><Relationship TargetMode="External" Target="https://bg.wikipedia.org/wiki/%D0%9E%D0%B1%D0%BB%D0%B0%D1%81%D1%82_%D0%A1%D0%BC%D0%BE%D0%BB%D1%8F%D0%BD" Id="docRId11" Type="http://schemas.openxmlformats.org/officeDocument/2006/relationships/hyperlink" /><Relationship TargetMode="External" Target="https://bg.wikipedia.org/wiki/%D0%9E%D0%B1%D0%BB%D0%B0%D1%81%D1%82_%D0%94%D0%BE%D0%B1%D1%80%D0%B8%D1%87" Id="docRId19" Type="http://schemas.openxmlformats.org/officeDocument/2006/relationships/hyperlink" /><Relationship TargetMode="External" Target="https://www.nsi.bg/" Id="docRId26" Type="http://schemas.openxmlformats.org/officeDocument/2006/relationships/hyperlink" /><Relationship Target="numbering.xml" Id="docRId31" Type="http://schemas.openxmlformats.org/officeDocument/2006/relationships/numbering" /><Relationship Target="media/image2.wmf" Id="docRId5" Type="http://schemas.openxmlformats.org/officeDocument/2006/relationships/image" /><Relationship TargetMode="External" Target="https://bg.wikipedia.org/wiki/%D0%9E%D0%B1%D0%BB%D0%B0%D1%81%D1%82_%D0%AF%D0%BC%D0%B1%D0%BE%D0%BB" Id="docRId16" Type="http://schemas.openxmlformats.org/officeDocument/2006/relationships/hyperlink" /><Relationship TargetMode="External" Target="https://bg.wikipedia.org/wiki/%D0%9E%D0%B1%D0%BB%D0%B0%D1%81%D1%82_%D0%A1%D0%B8%D0%BB%D0%B8%D1%81%D1%82%D1%80%D0%B0" Id="docRId25" Type="http://schemas.openxmlformats.org/officeDocument/2006/relationships/hyperlink" /><Relationship Target="styles.xml" Id="docRId32" Type="http://schemas.openxmlformats.org/officeDocument/2006/relationships/styles" /><Relationship Target="embeddings/oleObject2.bin" Id="docRId4" Type="http://schemas.openxmlformats.org/officeDocument/2006/relationships/oleObject" /><Relationship TargetMode="External" Target="https://bg.wikipedia.org/wiki/%D0%9E%D0%B1%D0%BB%D0%B0%D1%81%D1%82_%D0%91%D1%83%D1%80%D0%B3%D0%B0%D1%81" Id="docRId17" Type="http://schemas.openxmlformats.org/officeDocument/2006/relationships/hyperlink" /><Relationship TargetMode="External" Target="https://bg.wikipedia.org/wiki/%D0%9E%D0%B1%D0%BB%D0%B0%D1%81%D1%82_%D0%A0%D0%B0%D0%B7%D0%B3%D1%80%D0%B0%D0%B4" Id="docRId24" Type="http://schemas.openxmlformats.org/officeDocument/2006/relationships/hyperlink" /></Relationships>
</file>